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344A1" w14:textId="3DF5D25C" w:rsidR="00B16E0A" w:rsidRDefault="009C0F8C" w:rsidP="00B16E0A">
      <w:pPr>
        <w:jc w:val="center"/>
        <w:rPr>
          <w:rFonts w:ascii="Arial" w:hAnsi="Arial" w:cs="Arial"/>
          <w:b/>
          <w:sz w:val="16"/>
          <w:szCs w:val="16"/>
        </w:rPr>
      </w:pPr>
      <w:r>
        <w:rPr>
          <w:rFonts w:ascii="Arial" w:hAnsi="Arial" w:cs="Arial"/>
          <w:b/>
          <w:sz w:val="16"/>
          <w:szCs w:val="16"/>
        </w:rPr>
        <w:t>A</w:t>
      </w:r>
      <w:r w:rsidR="00143123">
        <w:rPr>
          <w:rFonts w:ascii="Arial" w:hAnsi="Arial" w:cs="Arial"/>
          <w:b/>
          <w:sz w:val="16"/>
          <w:szCs w:val="16"/>
        </w:rPr>
        <w:t>NEXO</w:t>
      </w:r>
      <w:r>
        <w:rPr>
          <w:rFonts w:ascii="Arial" w:hAnsi="Arial" w:cs="Arial"/>
          <w:b/>
          <w:sz w:val="16"/>
          <w:szCs w:val="16"/>
        </w:rPr>
        <w:t xml:space="preserve"> </w:t>
      </w:r>
      <w:r w:rsidR="00B16E0A">
        <w:rPr>
          <w:rFonts w:ascii="Arial" w:hAnsi="Arial" w:cs="Arial"/>
          <w:b/>
          <w:sz w:val="16"/>
          <w:szCs w:val="16"/>
        </w:rPr>
        <w:t>1</w:t>
      </w:r>
    </w:p>
    <w:p w14:paraId="4193B256" w14:textId="77777777" w:rsidR="00B16E0A" w:rsidRDefault="00B16E0A" w:rsidP="00B16E0A">
      <w:pPr>
        <w:jc w:val="center"/>
        <w:rPr>
          <w:rFonts w:ascii="Arial" w:hAnsi="Arial" w:cs="Arial"/>
          <w:b/>
          <w:sz w:val="16"/>
          <w:szCs w:val="16"/>
        </w:rPr>
      </w:pPr>
    </w:p>
    <w:p w14:paraId="1D8CEE3D" w14:textId="2F5FEDB9" w:rsidR="001A2580" w:rsidRPr="00983F31" w:rsidRDefault="00B16E0A" w:rsidP="00F55C09">
      <w:pPr>
        <w:jc w:val="center"/>
        <w:rPr>
          <w:rFonts w:ascii="Arial" w:hAnsi="Arial" w:cs="Arial"/>
          <w:b/>
          <w:sz w:val="16"/>
          <w:szCs w:val="16"/>
        </w:rPr>
      </w:pPr>
      <w:r>
        <w:rPr>
          <w:rFonts w:ascii="Arial" w:hAnsi="Arial" w:cs="Arial"/>
          <w:b/>
          <w:sz w:val="16"/>
          <w:szCs w:val="16"/>
        </w:rPr>
        <w:t xml:space="preserve">INDICADORES DE REFERENCIA PARA LA MEDICIÓN DE LOS RIESGOS </w:t>
      </w:r>
      <w:r w:rsidR="00464B24" w:rsidRPr="00983F31">
        <w:rPr>
          <w:rFonts w:ascii="Arial" w:hAnsi="Arial" w:cs="Arial"/>
          <w:b/>
          <w:sz w:val="16"/>
          <w:szCs w:val="16"/>
        </w:rPr>
        <w:t xml:space="preserve">AMBIENTALES, SOCIALES, INCLUIDOS LOS CLIMÁTICOS </w:t>
      </w:r>
    </w:p>
    <w:p w14:paraId="65046C1F" w14:textId="77777777" w:rsidR="001E4FAC" w:rsidRDefault="001E4FAC" w:rsidP="00A92D3C">
      <w:pPr>
        <w:tabs>
          <w:tab w:val="left" w:pos="284"/>
        </w:tabs>
        <w:jc w:val="both"/>
        <w:rPr>
          <w:rFonts w:ascii="Arial" w:hAnsi="Arial" w:cs="Arial"/>
          <w:b/>
          <w:sz w:val="16"/>
          <w:szCs w:val="16"/>
        </w:rPr>
      </w:pPr>
    </w:p>
    <w:p w14:paraId="4B3B22FC" w14:textId="77777777" w:rsidR="001E4FAC" w:rsidRDefault="001E4FAC" w:rsidP="00A92D3C">
      <w:pPr>
        <w:tabs>
          <w:tab w:val="left" w:pos="284"/>
        </w:tabs>
        <w:jc w:val="both"/>
        <w:rPr>
          <w:rFonts w:ascii="Arial" w:hAnsi="Arial" w:cs="Arial"/>
          <w:b/>
          <w:sz w:val="16"/>
          <w:szCs w:val="16"/>
        </w:rPr>
      </w:pPr>
    </w:p>
    <w:p w14:paraId="02FCE31C" w14:textId="606374B8" w:rsidR="00580A1B" w:rsidRPr="00580A1B" w:rsidRDefault="003807AF" w:rsidP="00163064">
      <w:pPr>
        <w:tabs>
          <w:tab w:val="left" w:pos="567"/>
        </w:tabs>
        <w:contextualSpacing/>
        <w:jc w:val="both"/>
        <w:rPr>
          <w:rFonts w:ascii="Arial" w:hAnsi="Arial" w:cs="Arial"/>
          <w:b/>
          <w:sz w:val="16"/>
          <w:szCs w:val="16"/>
          <w:lang w:val="es-CO"/>
        </w:rPr>
      </w:pPr>
      <w:r>
        <w:rPr>
          <w:rFonts w:ascii="Arial" w:hAnsi="Arial" w:cs="Arial"/>
          <w:b/>
          <w:sz w:val="16"/>
          <w:szCs w:val="16"/>
        </w:rPr>
        <w:t xml:space="preserve">El presente anexo establece los indicadores </w:t>
      </w:r>
      <w:r w:rsidR="00580A1B">
        <w:rPr>
          <w:rFonts w:ascii="Arial" w:hAnsi="Arial" w:cs="Arial"/>
          <w:b/>
          <w:bCs/>
          <w:sz w:val="16"/>
          <w:szCs w:val="16"/>
          <w:lang w:val="es-CO"/>
        </w:rPr>
        <w:t xml:space="preserve">de referencia que voluntariamente </w:t>
      </w:r>
      <w:r w:rsidR="00580A1B" w:rsidRPr="00580A1B">
        <w:rPr>
          <w:rFonts w:ascii="Arial" w:hAnsi="Arial" w:cs="Arial"/>
          <w:b/>
          <w:bCs/>
          <w:sz w:val="16"/>
          <w:szCs w:val="16"/>
          <w:lang w:val="es-CO"/>
        </w:rPr>
        <w:t xml:space="preserve">pueden utilizar </w:t>
      </w:r>
      <w:r w:rsidR="00580A1B">
        <w:rPr>
          <w:rFonts w:ascii="Arial" w:hAnsi="Arial" w:cs="Arial"/>
          <w:b/>
          <w:bCs/>
          <w:sz w:val="16"/>
          <w:szCs w:val="16"/>
          <w:lang w:val="es-CO"/>
        </w:rPr>
        <w:t xml:space="preserve">las entidades vigiladas para la medición de los riesgos </w:t>
      </w:r>
      <w:r w:rsidR="00A06804">
        <w:rPr>
          <w:rFonts w:ascii="Arial" w:hAnsi="Arial" w:cs="Arial"/>
          <w:b/>
          <w:bCs/>
          <w:sz w:val="16"/>
          <w:szCs w:val="16"/>
          <w:lang w:val="es-CO"/>
        </w:rPr>
        <w:t xml:space="preserve">ambientales y sociales, en los términos del numeral </w:t>
      </w:r>
      <w:r w:rsidR="00163064">
        <w:rPr>
          <w:rFonts w:ascii="Arial" w:hAnsi="Arial" w:cs="Arial"/>
          <w:b/>
          <w:bCs/>
          <w:sz w:val="16"/>
          <w:szCs w:val="16"/>
          <w:lang w:val="es-CO"/>
        </w:rPr>
        <w:t>1.5.2. del Capítulo XXXIII de la CBCF</w:t>
      </w:r>
      <w:r w:rsidR="00580A1B" w:rsidRPr="00580A1B">
        <w:rPr>
          <w:rFonts w:ascii="Arial" w:hAnsi="Arial" w:cs="Arial"/>
          <w:b/>
          <w:bCs/>
          <w:sz w:val="16"/>
          <w:szCs w:val="16"/>
          <w:lang w:val="es-CO"/>
        </w:rPr>
        <w:t>. </w:t>
      </w:r>
      <w:r w:rsidR="00580A1B" w:rsidRPr="00580A1B">
        <w:rPr>
          <w:rFonts w:ascii="Arial" w:hAnsi="Arial" w:cs="Arial"/>
          <w:b/>
          <w:sz w:val="16"/>
          <w:szCs w:val="16"/>
          <w:lang w:val="es-CO"/>
        </w:rPr>
        <w:t> </w:t>
      </w:r>
    </w:p>
    <w:p w14:paraId="1E790548" w14:textId="23400F5E" w:rsidR="00B13E3F" w:rsidRDefault="00580A1B" w:rsidP="00B13E3F">
      <w:pPr>
        <w:tabs>
          <w:tab w:val="left" w:pos="567"/>
        </w:tabs>
        <w:contextualSpacing/>
        <w:jc w:val="both"/>
        <w:rPr>
          <w:rFonts w:ascii="Arial" w:hAnsi="Arial" w:cs="Arial"/>
          <w:b/>
          <w:sz w:val="16"/>
          <w:szCs w:val="16"/>
          <w:lang w:val="es-CO"/>
        </w:rPr>
      </w:pPr>
      <w:r w:rsidRPr="00580A1B">
        <w:rPr>
          <w:rFonts w:ascii="Arial" w:hAnsi="Arial" w:cs="Arial"/>
          <w:b/>
          <w:sz w:val="16"/>
          <w:szCs w:val="16"/>
          <w:lang w:val="es-CO"/>
        </w:rPr>
        <w:t> </w:t>
      </w:r>
    </w:p>
    <w:p w14:paraId="43D05943" w14:textId="77777777" w:rsidR="00943539" w:rsidRPr="00816369" w:rsidRDefault="00943539" w:rsidP="00B13E3F">
      <w:pPr>
        <w:tabs>
          <w:tab w:val="left" w:pos="567"/>
        </w:tabs>
        <w:contextualSpacing/>
        <w:jc w:val="both"/>
        <w:rPr>
          <w:rFonts w:ascii="Arial" w:hAnsi="Arial" w:cs="Arial"/>
          <w:b/>
          <w:sz w:val="16"/>
          <w:szCs w:val="16"/>
          <w:lang w:val="es-CO"/>
        </w:rPr>
      </w:pPr>
    </w:p>
    <w:p w14:paraId="23CC5587" w14:textId="197939A8" w:rsidR="00B13E3F" w:rsidRPr="00B13E3F" w:rsidRDefault="00816369" w:rsidP="00B13E3F">
      <w:pPr>
        <w:tabs>
          <w:tab w:val="left" w:pos="567"/>
        </w:tabs>
        <w:contextualSpacing/>
        <w:jc w:val="both"/>
        <w:rPr>
          <w:rFonts w:ascii="Arial" w:hAnsi="Arial" w:cs="Arial"/>
          <w:b/>
          <w:sz w:val="16"/>
          <w:szCs w:val="16"/>
        </w:rPr>
      </w:pPr>
      <w:r>
        <w:rPr>
          <w:rFonts w:ascii="Arial" w:hAnsi="Arial" w:cs="Arial"/>
          <w:b/>
          <w:sz w:val="16"/>
          <w:szCs w:val="16"/>
        </w:rPr>
        <w:t xml:space="preserve">1. </w:t>
      </w:r>
      <w:r w:rsidR="00C44BD4" w:rsidRPr="00B13E3F">
        <w:rPr>
          <w:rFonts w:ascii="Arial" w:hAnsi="Arial" w:cs="Arial"/>
          <w:b/>
          <w:sz w:val="16"/>
          <w:szCs w:val="16"/>
        </w:rPr>
        <w:t>DEFINICIONES</w:t>
      </w:r>
    </w:p>
    <w:p w14:paraId="70F9E29F" w14:textId="77777777" w:rsidR="00B13E3F" w:rsidRPr="00B13E3F" w:rsidRDefault="00B13E3F" w:rsidP="00B13E3F">
      <w:pPr>
        <w:tabs>
          <w:tab w:val="left" w:pos="567"/>
        </w:tabs>
        <w:contextualSpacing/>
        <w:jc w:val="both"/>
        <w:rPr>
          <w:rFonts w:ascii="Arial" w:hAnsi="Arial" w:cs="Arial"/>
          <w:b/>
          <w:sz w:val="16"/>
          <w:szCs w:val="16"/>
        </w:rPr>
      </w:pPr>
    </w:p>
    <w:p w14:paraId="4C6AA708" w14:textId="664AFCA8" w:rsidR="00816369" w:rsidRDefault="00816369" w:rsidP="00B13E3F">
      <w:pPr>
        <w:tabs>
          <w:tab w:val="left" w:pos="567"/>
        </w:tabs>
        <w:contextualSpacing/>
        <w:jc w:val="both"/>
        <w:rPr>
          <w:rFonts w:ascii="Arial" w:hAnsi="Arial" w:cs="Arial"/>
          <w:b/>
          <w:sz w:val="16"/>
          <w:szCs w:val="16"/>
        </w:rPr>
      </w:pPr>
      <w:r>
        <w:rPr>
          <w:rFonts w:ascii="Arial" w:hAnsi="Arial" w:cs="Arial"/>
          <w:b/>
          <w:sz w:val="16"/>
          <w:szCs w:val="16"/>
        </w:rPr>
        <w:t>Para los fines del presente anexo</w:t>
      </w:r>
      <w:r w:rsidR="00763DC3">
        <w:rPr>
          <w:rFonts w:ascii="Arial" w:hAnsi="Arial" w:cs="Arial"/>
          <w:b/>
          <w:sz w:val="16"/>
          <w:szCs w:val="16"/>
        </w:rPr>
        <w:t xml:space="preserve">, los </w:t>
      </w:r>
      <w:r w:rsidR="00622CFA">
        <w:rPr>
          <w:rFonts w:ascii="Arial" w:hAnsi="Arial" w:cs="Arial"/>
          <w:b/>
          <w:sz w:val="16"/>
          <w:szCs w:val="16"/>
        </w:rPr>
        <w:t>términos que se indican a continuación tendrán los siguientes significados:</w:t>
      </w:r>
    </w:p>
    <w:p w14:paraId="5CA09A36" w14:textId="77777777" w:rsidR="00816369" w:rsidRDefault="00816369" w:rsidP="00B13E3F">
      <w:pPr>
        <w:tabs>
          <w:tab w:val="left" w:pos="567"/>
        </w:tabs>
        <w:contextualSpacing/>
        <w:jc w:val="both"/>
        <w:rPr>
          <w:rFonts w:ascii="Arial" w:hAnsi="Arial" w:cs="Arial"/>
          <w:b/>
          <w:sz w:val="16"/>
          <w:szCs w:val="16"/>
        </w:rPr>
      </w:pPr>
    </w:p>
    <w:p w14:paraId="3D77F203" w14:textId="04CC9FE4"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FIA: </w:t>
      </w:r>
      <w:r w:rsidR="00622CFA">
        <w:rPr>
          <w:rFonts w:ascii="Arial" w:hAnsi="Arial" w:cs="Arial"/>
          <w:b/>
          <w:sz w:val="16"/>
          <w:szCs w:val="16"/>
        </w:rPr>
        <w:t>es el m</w:t>
      </w:r>
      <w:r w:rsidRPr="00B13E3F">
        <w:rPr>
          <w:rFonts w:ascii="Arial" w:hAnsi="Arial" w:cs="Arial"/>
          <w:b/>
          <w:sz w:val="16"/>
          <w:szCs w:val="16"/>
        </w:rPr>
        <w:t xml:space="preserve">onto en COP de </w:t>
      </w:r>
      <w:r w:rsidR="00346912">
        <w:rPr>
          <w:rFonts w:ascii="Arial" w:hAnsi="Arial" w:cs="Arial"/>
          <w:b/>
          <w:sz w:val="16"/>
          <w:szCs w:val="16"/>
        </w:rPr>
        <w:t>las operaciones de financiamiento</w:t>
      </w:r>
      <w:r w:rsidRPr="00B13E3F">
        <w:rPr>
          <w:rFonts w:ascii="Arial" w:hAnsi="Arial" w:cs="Arial"/>
          <w:b/>
          <w:sz w:val="16"/>
          <w:szCs w:val="16"/>
        </w:rPr>
        <w:t>, inversión o asegura</w:t>
      </w:r>
      <w:r w:rsidR="00346912">
        <w:rPr>
          <w:rFonts w:ascii="Arial" w:hAnsi="Arial" w:cs="Arial"/>
          <w:b/>
          <w:sz w:val="16"/>
          <w:szCs w:val="16"/>
        </w:rPr>
        <w:t xml:space="preserve">miento </w:t>
      </w:r>
      <w:r w:rsidR="001D56A0">
        <w:rPr>
          <w:rFonts w:ascii="Arial" w:hAnsi="Arial" w:cs="Arial"/>
          <w:b/>
          <w:sz w:val="16"/>
          <w:szCs w:val="16"/>
        </w:rPr>
        <w:t xml:space="preserve">realizado </w:t>
      </w:r>
      <w:r w:rsidRPr="00B13E3F">
        <w:rPr>
          <w:rFonts w:ascii="Arial" w:hAnsi="Arial" w:cs="Arial"/>
          <w:b/>
          <w:sz w:val="16"/>
          <w:szCs w:val="16"/>
        </w:rPr>
        <w:t>por parte de las entidades vigiladas por la Superintendencia Financiera de Colombia (SFC).</w:t>
      </w:r>
    </w:p>
    <w:p w14:paraId="3D8C277E" w14:textId="77777777" w:rsidR="00B13E3F" w:rsidRPr="00B13E3F" w:rsidRDefault="00B13E3F" w:rsidP="00B13E3F">
      <w:pPr>
        <w:tabs>
          <w:tab w:val="left" w:pos="567"/>
        </w:tabs>
        <w:contextualSpacing/>
        <w:jc w:val="both"/>
        <w:rPr>
          <w:rFonts w:ascii="Arial" w:hAnsi="Arial" w:cs="Arial"/>
          <w:b/>
          <w:sz w:val="16"/>
          <w:szCs w:val="16"/>
        </w:rPr>
      </w:pPr>
    </w:p>
    <w:p w14:paraId="44D3F4C6" w14:textId="666705F0"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Total de Referencia: </w:t>
      </w:r>
      <w:r w:rsidR="001D56A0">
        <w:rPr>
          <w:rFonts w:ascii="Arial" w:hAnsi="Arial" w:cs="Arial"/>
          <w:b/>
          <w:sz w:val="16"/>
          <w:szCs w:val="16"/>
        </w:rPr>
        <w:t>es el m</w:t>
      </w:r>
      <w:r w:rsidRPr="00B13E3F">
        <w:rPr>
          <w:rFonts w:ascii="Arial" w:hAnsi="Arial" w:cs="Arial"/>
          <w:b/>
          <w:sz w:val="16"/>
          <w:szCs w:val="16"/>
        </w:rPr>
        <w:t xml:space="preserve">onto en COP correspondiente al valor agregado del portafolio de activos o cartera con exposición ambiental o social relevante, según el indicador. </w:t>
      </w:r>
    </w:p>
    <w:p w14:paraId="12622E44" w14:textId="77777777" w:rsidR="00B13E3F" w:rsidRDefault="00B13E3F" w:rsidP="00B13E3F">
      <w:pPr>
        <w:tabs>
          <w:tab w:val="left" w:pos="567"/>
        </w:tabs>
        <w:contextualSpacing/>
        <w:jc w:val="both"/>
        <w:rPr>
          <w:rFonts w:ascii="Arial" w:hAnsi="Arial" w:cs="Arial"/>
          <w:b/>
          <w:sz w:val="16"/>
          <w:szCs w:val="16"/>
        </w:rPr>
      </w:pPr>
    </w:p>
    <w:p w14:paraId="6143632A" w14:textId="77777777" w:rsidR="00943539" w:rsidRPr="00B13E3F" w:rsidRDefault="00943539" w:rsidP="00B13E3F">
      <w:pPr>
        <w:tabs>
          <w:tab w:val="left" w:pos="567"/>
        </w:tabs>
        <w:contextualSpacing/>
        <w:jc w:val="both"/>
        <w:rPr>
          <w:rFonts w:ascii="Arial" w:hAnsi="Arial" w:cs="Arial"/>
          <w:b/>
          <w:sz w:val="16"/>
          <w:szCs w:val="16"/>
        </w:rPr>
      </w:pPr>
    </w:p>
    <w:p w14:paraId="54949E64" w14:textId="0B128B62" w:rsidR="00B13E3F" w:rsidRPr="00B13E3F" w:rsidRDefault="00B00104" w:rsidP="00B13E3F">
      <w:pPr>
        <w:tabs>
          <w:tab w:val="left" w:pos="567"/>
        </w:tabs>
        <w:contextualSpacing/>
        <w:jc w:val="both"/>
        <w:rPr>
          <w:rFonts w:ascii="Arial" w:hAnsi="Arial" w:cs="Arial"/>
          <w:b/>
          <w:sz w:val="16"/>
          <w:szCs w:val="16"/>
        </w:rPr>
      </w:pPr>
      <w:r>
        <w:rPr>
          <w:rFonts w:ascii="Arial" w:hAnsi="Arial" w:cs="Arial"/>
          <w:b/>
          <w:sz w:val="16"/>
          <w:szCs w:val="16"/>
        </w:rPr>
        <w:t xml:space="preserve">2. </w:t>
      </w:r>
      <w:r w:rsidR="00C44BD4" w:rsidRPr="00B13E3F">
        <w:rPr>
          <w:rFonts w:ascii="Arial" w:hAnsi="Arial" w:cs="Arial"/>
          <w:b/>
          <w:sz w:val="16"/>
          <w:szCs w:val="16"/>
        </w:rPr>
        <w:t xml:space="preserve">INDICADORES </w:t>
      </w:r>
      <w:r w:rsidR="00C44BD4">
        <w:rPr>
          <w:rFonts w:ascii="Arial" w:hAnsi="Arial" w:cs="Arial"/>
          <w:b/>
          <w:sz w:val="16"/>
          <w:szCs w:val="16"/>
        </w:rPr>
        <w:t>DE REFERENCIA</w:t>
      </w:r>
    </w:p>
    <w:p w14:paraId="648D4801" w14:textId="77777777" w:rsidR="00B13E3F" w:rsidRPr="00B13E3F" w:rsidRDefault="00B13E3F" w:rsidP="00B13E3F">
      <w:pPr>
        <w:tabs>
          <w:tab w:val="left" w:pos="567"/>
        </w:tabs>
        <w:contextualSpacing/>
        <w:jc w:val="both"/>
        <w:rPr>
          <w:rFonts w:ascii="Arial" w:hAnsi="Arial" w:cs="Arial"/>
          <w:b/>
          <w:sz w:val="16"/>
          <w:szCs w:val="16"/>
        </w:rPr>
      </w:pPr>
    </w:p>
    <w:p w14:paraId="1D44BAAD" w14:textId="77777777" w:rsidR="00D40A9B" w:rsidRDefault="00D40A9B" w:rsidP="00B13E3F">
      <w:pPr>
        <w:tabs>
          <w:tab w:val="left" w:pos="567"/>
        </w:tabs>
        <w:contextualSpacing/>
        <w:jc w:val="both"/>
        <w:rPr>
          <w:rFonts w:ascii="Arial" w:hAnsi="Arial" w:cs="Arial"/>
          <w:b/>
          <w:sz w:val="16"/>
          <w:szCs w:val="16"/>
        </w:rPr>
      </w:pPr>
    </w:p>
    <w:p w14:paraId="1B103ADD" w14:textId="663BC014" w:rsidR="00B13E3F" w:rsidRPr="00B13E3F" w:rsidRDefault="002208FD" w:rsidP="00B13E3F">
      <w:pPr>
        <w:tabs>
          <w:tab w:val="left" w:pos="567"/>
        </w:tabs>
        <w:contextualSpacing/>
        <w:jc w:val="both"/>
        <w:rPr>
          <w:rFonts w:ascii="Arial" w:hAnsi="Arial" w:cs="Arial"/>
          <w:b/>
          <w:sz w:val="16"/>
          <w:szCs w:val="16"/>
        </w:rPr>
      </w:pPr>
      <w:r>
        <w:rPr>
          <w:rFonts w:ascii="Arial" w:hAnsi="Arial" w:cs="Arial"/>
          <w:b/>
          <w:sz w:val="16"/>
          <w:szCs w:val="16"/>
        </w:rPr>
        <w:t xml:space="preserve">2.1. </w:t>
      </w:r>
      <w:r w:rsidR="00B13E3F" w:rsidRPr="00B13E3F">
        <w:rPr>
          <w:rFonts w:ascii="Arial" w:hAnsi="Arial" w:cs="Arial"/>
          <w:b/>
          <w:sz w:val="16"/>
          <w:szCs w:val="16"/>
        </w:rPr>
        <w:t>Índice de exposición a riesgos físicos (por categoría) - IERF</w:t>
      </w:r>
    </w:p>
    <w:p w14:paraId="58AEE45C" w14:textId="77777777" w:rsidR="00B13E3F" w:rsidRPr="00B13E3F" w:rsidRDefault="00B13E3F" w:rsidP="00B13E3F">
      <w:pPr>
        <w:tabs>
          <w:tab w:val="left" w:pos="567"/>
        </w:tabs>
        <w:contextualSpacing/>
        <w:jc w:val="both"/>
        <w:rPr>
          <w:rFonts w:ascii="Arial" w:hAnsi="Arial" w:cs="Arial"/>
          <w:b/>
          <w:sz w:val="16"/>
          <w:szCs w:val="16"/>
        </w:rPr>
      </w:pPr>
    </w:p>
    <w:p w14:paraId="487B807A" w14:textId="2B92669F" w:rsidR="00B13E3F" w:rsidRPr="00B13E3F" w:rsidRDefault="001F711F" w:rsidP="00B13E3F">
      <w:pPr>
        <w:tabs>
          <w:tab w:val="left" w:pos="567"/>
        </w:tabs>
        <w:contextualSpacing/>
        <w:jc w:val="both"/>
        <w:rPr>
          <w:rFonts w:ascii="Arial" w:hAnsi="Arial" w:cs="Arial"/>
          <w:b/>
          <w:sz w:val="16"/>
          <w:szCs w:val="16"/>
        </w:rPr>
      </w:pPr>
      <w:r>
        <w:rPr>
          <w:rFonts w:ascii="Arial" w:hAnsi="Arial" w:cs="Arial"/>
          <w:b/>
          <w:sz w:val="16"/>
          <w:szCs w:val="16"/>
        </w:rPr>
        <w:t xml:space="preserve">2.1.1. </w:t>
      </w:r>
      <w:r w:rsidR="00B13E3F" w:rsidRPr="00B13E3F">
        <w:rPr>
          <w:rFonts w:ascii="Arial" w:hAnsi="Arial" w:cs="Arial"/>
          <w:b/>
          <w:sz w:val="16"/>
          <w:szCs w:val="16"/>
        </w:rPr>
        <w:t xml:space="preserve">Tipo de indicador: </w:t>
      </w:r>
      <w:r w:rsidR="007726B0">
        <w:rPr>
          <w:rFonts w:ascii="Arial" w:hAnsi="Arial" w:cs="Arial"/>
          <w:b/>
          <w:sz w:val="16"/>
          <w:szCs w:val="16"/>
        </w:rPr>
        <w:t>a</w:t>
      </w:r>
      <w:r w:rsidR="00B13E3F" w:rsidRPr="00B13E3F">
        <w:rPr>
          <w:rFonts w:ascii="Arial" w:hAnsi="Arial" w:cs="Arial"/>
          <w:b/>
          <w:sz w:val="16"/>
          <w:szCs w:val="16"/>
        </w:rPr>
        <w:t>mbiental.</w:t>
      </w:r>
    </w:p>
    <w:p w14:paraId="44FCA71B" w14:textId="77777777" w:rsidR="00B13E3F" w:rsidRPr="00B13E3F" w:rsidRDefault="00B13E3F" w:rsidP="00B13E3F">
      <w:pPr>
        <w:tabs>
          <w:tab w:val="left" w:pos="567"/>
        </w:tabs>
        <w:contextualSpacing/>
        <w:jc w:val="both"/>
        <w:rPr>
          <w:rFonts w:ascii="Arial" w:hAnsi="Arial" w:cs="Arial"/>
          <w:b/>
          <w:sz w:val="16"/>
          <w:szCs w:val="16"/>
        </w:rPr>
      </w:pPr>
    </w:p>
    <w:p w14:paraId="2BA38808" w14:textId="0F0DEAC2" w:rsidR="00B13E3F" w:rsidRDefault="00880473" w:rsidP="00B13E3F">
      <w:pPr>
        <w:tabs>
          <w:tab w:val="left" w:pos="567"/>
        </w:tabs>
        <w:contextualSpacing/>
        <w:jc w:val="both"/>
        <w:rPr>
          <w:rFonts w:ascii="Arial" w:hAnsi="Arial" w:cs="Arial"/>
          <w:b/>
          <w:sz w:val="16"/>
          <w:szCs w:val="16"/>
        </w:rPr>
      </w:pPr>
      <w:r>
        <w:rPr>
          <w:rFonts w:ascii="Arial" w:hAnsi="Arial" w:cs="Arial"/>
          <w:b/>
          <w:sz w:val="16"/>
          <w:szCs w:val="16"/>
        </w:rPr>
        <w:t xml:space="preserve">2.1.2. </w:t>
      </w:r>
      <w:r w:rsidR="00B13E3F" w:rsidRPr="00B13E3F">
        <w:rPr>
          <w:rFonts w:ascii="Arial" w:hAnsi="Arial" w:cs="Arial"/>
          <w:b/>
          <w:sz w:val="16"/>
          <w:szCs w:val="16"/>
        </w:rPr>
        <w:t xml:space="preserve">Propósito: </w:t>
      </w:r>
      <w:r w:rsidR="00E37780">
        <w:rPr>
          <w:rFonts w:ascii="Arial" w:hAnsi="Arial" w:cs="Arial"/>
          <w:b/>
          <w:sz w:val="16"/>
          <w:szCs w:val="16"/>
        </w:rPr>
        <w:t>m</w:t>
      </w:r>
      <w:r w:rsidR="00B13E3F" w:rsidRPr="00B13E3F">
        <w:rPr>
          <w:rFonts w:ascii="Arial" w:hAnsi="Arial" w:cs="Arial"/>
          <w:b/>
          <w:sz w:val="16"/>
          <w:szCs w:val="16"/>
        </w:rPr>
        <w:t>ide la vulnerabilidad de los activos de la entidad vigilada frente a amenazas climáticas de origen físico, tales como precipitaciones extremas, sequías, deslizamientos e incendios forestales, entre otros Permite evaluar el nivel de exposición de un portafolio de activos o cartera frente a amenazas climáticas de origen físico.</w:t>
      </w:r>
    </w:p>
    <w:p w14:paraId="479DED94" w14:textId="77777777" w:rsidR="00880473" w:rsidRDefault="00880473" w:rsidP="00B13E3F">
      <w:pPr>
        <w:tabs>
          <w:tab w:val="left" w:pos="567"/>
        </w:tabs>
        <w:contextualSpacing/>
        <w:jc w:val="both"/>
        <w:rPr>
          <w:rFonts w:ascii="Arial" w:hAnsi="Arial" w:cs="Arial"/>
          <w:b/>
          <w:sz w:val="16"/>
          <w:szCs w:val="16"/>
        </w:rPr>
      </w:pPr>
    </w:p>
    <w:p w14:paraId="4F3EB339" w14:textId="65B6BC03" w:rsidR="00880473" w:rsidRPr="00B13E3F" w:rsidRDefault="00880473" w:rsidP="00B13E3F">
      <w:pPr>
        <w:tabs>
          <w:tab w:val="left" w:pos="567"/>
        </w:tabs>
        <w:contextualSpacing/>
        <w:jc w:val="both"/>
        <w:rPr>
          <w:rFonts w:ascii="Arial" w:hAnsi="Arial" w:cs="Arial"/>
          <w:b/>
          <w:sz w:val="16"/>
          <w:szCs w:val="16"/>
        </w:rPr>
      </w:pPr>
      <w:r>
        <w:rPr>
          <w:rFonts w:ascii="Arial" w:hAnsi="Arial" w:cs="Arial"/>
          <w:b/>
          <w:sz w:val="16"/>
          <w:szCs w:val="16"/>
        </w:rPr>
        <w:t>Este indicador puede ser utilizado por los e</w:t>
      </w:r>
      <w:r w:rsidRPr="00B13E3F">
        <w:rPr>
          <w:rFonts w:ascii="Arial" w:hAnsi="Arial" w:cs="Arial"/>
          <w:b/>
          <w:sz w:val="16"/>
          <w:szCs w:val="16"/>
        </w:rPr>
        <w:t xml:space="preserve">stablecimientos de </w:t>
      </w:r>
      <w:r w:rsidR="00BD1260">
        <w:rPr>
          <w:rFonts w:ascii="Arial" w:hAnsi="Arial" w:cs="Arial"/>
          <w:b/>
          <w:sz w:val="16"/>
          <w:szCs w:val="16"/>
        </w:rPr>
        <w:t>c</w:t>
      </w:r>
      <w:r w:rsidRPr="00B13E3F">
        <w:rPr>
          <w:rFonts w:ascii="Arial" w:hAnsi="Arial" w:cs="Arial"/>
          <w:b/>
          <w:sz w:val="16"/>
          <w:szCs w:val="16"/>
        </w:rPr>
        <w:t>rédito</w:t>
      </w:r>
      <w:r>
        <w:rPr>
          <w:rFonts w:ascii="Arial" w:hAnsi="Arial" w:cs="Arial"/>
          <w:b/>
          <w:sz w:val="16"/>
          <w:szCs w:val="16"/>
        </w:rPr>
        <w:t>, las entidades a</w:t>
      </w:r>
      <w:r w:rsidRPr="00B13E3F">
        <w:rPr>
          <w:rFonts w:ascii="Arial" w:hAnsi="Arial" w:cs="Arial"/>
          <w:b/>
          <w:sz w:val="16"/>
          <w:szCs w:val="16"/>
        </w:rPr>
        <w:t>seguradoras y</w:t>
      </w:r>
      <w:r>
        <w:rPr>
          <w:rFonts w:ascii="Arial" w:hAnsi="Arial" w:cs="Arial"/>
          <w:b/>
          <w:sz w:val="16"/>
          <w:szCs w:val="16"/>
        </w:rPr>
        <w:t xml:space="preserve"> las entidades que administran recursos de terceros. </w:t>
      </w:r>
    </w:p>
    <w:p w14:paraId="3BA670D9" w14:textId="77777777" w:rsidR="00B13E3F" w:rsidRPr="00B13E3F" w:rsidRDefault="00B13E3F" w:rsidP="00B13E3F">
      <w:pPr>
        <w:tabs>
          <w:tab w:val="left" w:pos="567"/>
        </w:tabs>
        <w:contextualSpacing/>
        <w:jc w:val="both"/>
        <w:rPr>
          <w:rFonts w:ascii="Arial" w:hAnsi="Arial" w:cs="Arial"/>
          <w:b/>
          <w:sz w:val="16"/>
          <w:szCs w:val="16"/>
        </w:rPr>
      </w:pPr>
    </w:p>
    <w:p w14:paraId="7B441BC8" w14:textId="58DD9DBC" w:rsidR="00B13E3F" w:rsidRPr="00B13E3F" w:rsidRDefault="001F711F" w:rsidP="00B13E3F">
      <w:pPr>
        <w:tabs>
          <w:tab w:val="left" w:pos="567"/>
        </w:tabs>
        <w:contextualSpacing/>
        <w:jc w:val="both"/>
        <w:rPr>
          <w:rFonts w:ascii="Arial" w:hAnsi="Arial" w:cs="Arial"/>
          <w:b/>
          <w:sz w:val="16"/>
          <w:szCs w:val="16"/>
        </w:rPr>
      </w:pPr>
      <w:r>
        <w:rPr>
          <w:rFonts w:ascii="Arial" w:hAnsi="Arial" w:cs="Arial"/>
          <w:b/>
          <w:sz w:val="16"/>
          <w:szCs w:val="16"/>
        </w:rPr>
        <w:t>2.1.</w:t>
      </w:r>
      <w:r w:rsidR="00880473">
        <w:rPr>
          <w:rFonts w:ascii="Arial" w:hAnsi="Arial" w:cs="Arial"/>
          <w:b/>
          <w:sz w:val="16"/>
          <w:szCs w:val="16"/>
        </w:rPr>
        <w:t>3</w:t>
      </w:r>
      <w:r>
        <w:rPr>
          <w:rFonts w:ascii="Arial" w:hAnsi="Arial" w:cs="Arial"/>
          <w:b/>
          <w:sz w:val="16"/>
          <w:szCs w:val="16"/>
        </w:rPr>
        <w:t xml:space="preserve">. </w:t>
      </w:r>
      <w:r w:rsidR="00B13E3F" w:rsidRPr="00B13E3F">
        <w:rPr>
          <w:rFonts w:ascii="Arial" w:hAnsi="Arial" w:cs="Arial"/>
          <w:b/>
          <w:sz w:val="16"/>
          <w:szCs w:val="16"/>
        </w:rPr>
        <w:t xml:space="preserve">Fórmula: </w:t>
      </w:r>
    </w:p>
    <w:p w14:paraId="7EEAB785" w14:textId="77777777" w:rsidR="00B13E3F" w:rsidRPr="00B13E3F" w:rsidRDefault="00B13E3F" w:rsidP="00B13E3F">
      <w:pPr>
        <w:tabs>
          <w:tab w:val="left" w:pos="567"/>
        </w:tabs>
        <w:contextualSpacing/>
        <w:jc w:val="both"/>
        <w:rPr>
          <w:rFonts w:ascii="Arial" w:hAnsi="Arial" w:cs="Arial"/>
          <w:b/>
          <w:sz w:val="16"/>
          <w:szCs w:val="16"/>
        </w:rPr>
      </w:pPr>
    </w:p>
    <w:p w14:paraId="170249BD" w14:textId="1282BB36" w:rsidR="00D32BCD" w:rsidRPr="00A355BE" w:rsidRDefault="00A355BE" w:rsidP="00D32BCD">
      <w:pPr>
        <w:rPr>
          <w:rFonts w:eastAsia="Verdana"/>
          <w:b/>
          <w:bCs/>
          <w:sz w:val="16"/>
          <w:szCs w:val="16"/>
        </w:rPr>
      </w:pPr>
      <m:oMathPara>
        <m:oMath>
          <m:r>
            <m:rPr>
              <m:sty m:val="bi"/>
            </m:rPr>
            <w:rPr>
              <w:rFonts w:ascii="Cambria Math" w:eastAsia="Aptos" w:hAnsi="Cambria Math"/>
              <w:sz w:val="16"/>
              <w:szCs w:val="16"/>
            </w:rPr>
            <m:t>IERF=</m:t>
          </m:r>
          <m:f>
            <m:fPr>
              <m:ctrlPr>
                <w:rPr>
                  <w:rFonts w:ascii="Cambria Math" w:hAnsi="Cambria Math"/>
                  <w:b/>
                  <w:bCs/>
                  <w:sz w:val="16"/>
                  <w:szCs w:val="16"/>
                </w:rPr>
              </m:ctrlPr>
            </m:fPr>
            <m:num>
              <m:r>
                <m:rPr>
                  <m:sty m:val="bi"/>
                </m:rPr>
                <w:rPr>
                  <w:rFonts w:ascii="Cambria Math" w:hAnsi="Cambria Math"/>
                  <w:sz w:val="16"/>
                  <w:szCs w:val="16"/>
                </w:rPr>
                <m:t xml:space="preserve">FIA en zonas de alta vulnerabilidad climática por categoría </m:t>
              </m:r>
            </m:num>
            <m:den>
              <m:r>
                <m:rPr>
                  <m:sty m:val="bi"/>
                </m:rPr>
                <w:rPr>
                  <w:rFonts w:ascii="Cambria Math" w:hAnsi="Cambria Math"/>
                  <w:sz w:val="16"/>
                  <w:szCs w:val="16"/>
                </w:rPr>
                <m:t>Valor total de referencia</m:t>
              </m:r>
            </m:den>
          </m:f>
          <m:r>
            <m:rPr>
              <m:sty m:val="bi"/>
            </m:rPr>
            <w:rPr>
              <w:rFonts w:ascii="Cambria Math" w:hAnsi="Cambria Math"/>
              <w:sz w:val="16"/>
              <w:szCs w:val="16"/>
            </w:rPr>
            <m:t>*100</m:t>
          </m:r>
        </m:oMath>
      </m:oMathPara>
    </w:p>
    <w:p w14:paraId="52E99863" w14:textId="77777777" w:rsidR="00B13E3F" w:rsidRPr="00B13E3F" w:rsidRDefault="00B13E3F" w:rsidP="00B13E3F">
      <w:pPr>
        <w:tabs>
          <w:tab w:val="left" w:pos="567"/>
        </w:tabs>
        <w:contextualSpacing/>
        <w:jc w:val="both"/>
        <w:rPr>
          <w:rFonts w:ascii="Arial" w:hAnsi="Arial" w:cs="Arial"/>
          <w:b/>
          <w:sz w:val="16"/>
          <w:szCs w:val="16"/>
        </w:rPr>
      </w:pPr>
    </w:p>
    <w:p w14:paraId="66880074" w14:textId="77777777"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El índice se presenta como porcentaje y su medición puede ser actualizada acorde con disponibilidad mensual de la fuente. La sugerencia de cálculo del indicador es trimestral.</w:t>
      </w:r>
    </w:p>
    <w:p w14:paraId="0A8650F7" w14:textId="77777777" w:rsidR="00B13E3F" w:rsidRPr="00B13E3F" w:rsidRDefault="00B13E3F" w:rsidP="00B13E3F">
      <w:pPr>
        <w:tabs>
          <w:tab w:val="left" w:pos="567"/>
        </w:tabs>
        <w:contextualSpacing/>
        <w:jc w:val="both"/>
        <w:rPr>
          <w:rFonts w:ascii="Arial" w:hAnsi="Arial" w:cs="Arial"/>
          <w:b/>
          <w:sz w:val="16"/>
          <w:szCs w:val="16"/>
        </w:rPr>
      </w:pPr>
    </w:p>
    <w:p w14:paraId="5DDCB9A5" w14:textId="1966F99E" w:rsidR="00B13E3F" w:rsidRPr="00B13E3F" w:rsidRDefault="001F711F" w:rsidP="00B13E3F">
      <w:pPr>
        <w:tabs>
          <w:tab w:val="left" w:pos="567"/>
        </w:tabs>
        <w:contextualSpacing/>
        <w:jc w:val="both"/>
        <w:rPr>
          <w:rFonts w:ascii="Arial" w:hAnsi="Arial" w:cs="Arial"/>
          <w:b/>
          <w:sz w:val="16"/>
          <w:szCs w:val="16"/>
        </w:rPr>
      </w:pPr>
      <w:r>
        <w:rPr>
          <w:rFonts w:ascii="Arial" w:hAnsi="Arial" w:cs="Arial"/>
          <w:b/>
          <w:sz w:val="16"/>
          <w:szCs w:val="16"/>
        </w:rPr>
        <w:t>2.1.</w:t>
      </w:r>
      <w:r w:rsidR="00880473">
        <w:rPr>
          <w:rFonts w:ascii="Arial" w:hAnsi="Arial" w:cs="Arial"/>
          <w:b/>
          <w:sz w:val="16"/>
          <w:szCs w:val="16"/>
        </w:rPr>
        <w:t>4</w:t>
      </w:r>
      <w:r>
        <w:rPr>
          <w:rFonts w:ascii="Arial" w:hAnsi="Arial" w:cs="Arial"/>
          <w:b/>
          <w:sz w:val="16"/>
          <w:szCs w:val="16"/>
        </w:rPr>
        <w:t xml:space="preserve">. </w:t>
      </w:r>
      <w:r w:rsidR="00B13E3F" w:rsidRPr="00B13E3F">
        <w:rPr>
          <w:rFonts w:ascii="Arial" w:hAnsi="Arial" w:cs="Arial"/>
          <w:b/>
          <w:sz w:val="16"/>
          <w:szCs w:val="16"/>
        </w:rPr>
        <w:t xml:space="preserve">Variables: </w:t>
      </w:r>
    </w:p>
    <w:p w14:paraId="77CAC555" w14:textId="77777777" w:rsidR="00B13E3F" w:rsidRPr="00B13E3F" w:rsidRDefault="00B13E3F" w:rsidP="00B13E3F">
      <w:pPr>
        <w:tabs>
          <w:tab w:val="left" w:pos="567"/>
        </w:tabs>
        <w:contextualSpacing/>
        <w:jc w:val="both"/>
        <w:rPr>
          <w:rFonts w:ascii="Arial" w:hAnsi="Arial" w:cs="Arial"/>
          <w:b/>
          <w:sz w:val="16"/>
          <w:szCs w:val="16"/>
        </w:rPr>
      </w:pPr>
    </w:p>
    <w:p w14:paraId="39013847" w14:textId="31C627F2" w:rsidR="00B13E3F" w:rsidRPr="00B13E3F" w:rsidRDefault="00A355BE"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FIA en zonas de alta vulnerabilidad climática por categoría</m:t>
        </m:r>
      </m:oMath>
      <w:r w:rsidR="00B13E3F" w:rsidRPr="00B13E3F">
        <w:rPr>
          <w:rFonts w:ascii="Arial" w:hAnsi="Arial" w:cs="Arial"/>
          <w:b/>
          <w:sz w:val="16"/>
          <w:szCs w:val="16"/>
        </w:rPr>
        <w:t xml:space="preserve">: </w:t>
      </w:r>
      <w:r w:rsidR="00281E85">
        <w:rPr>
          <w:rFonts w:ascii="Arial" w:hAnsi="Arial" w:cs="Arial"/>
          <w:b/>
          <w:sz w:val="16"/>
          <w:szCs w:val="16"/>
        </w:rPr>
        <w:t xml:space="preserve">es el FIA </w:t>
      </w:r>
      <w:r w:rsidR="00B13E3F" w:rsidRPr="00B13E3F">
        <w:rPr>
          <w:rFonts w:ascii="Arial" w:hAnsi="Arial" w:cs="Arial"/>
          <w:b/>
          <w:sz w:val="16"/>
          <w:szCs w:val="16"/>
        </w:rPr>
        <w:t>correspondiente a sectores ubicados en zonas de alto riesgo físico. El cálculo se realiza de manera independiente de acuerdo con las siguientes categorías, de forma que cada una corresponde a un indicador individual, cuya fórmula y fuente principal de cálculo es la misma:</w:t>
      </w:r>
    </w:p>
    <w:p w14:paraId="7ED8D2EE" w14:textId="77777777" w:rsidR="00B13E3F" w:rsidRPr="00B13E3F" w:rsidRDefault="00B13E3F" w:rsidP="00B13E3F">
      <w:pPr>
        <w:tabs>
          <w:tab w:val="left" w:pos="567"/>
        </w:tabs>
        <w:contextualSpacing/>
        <w:jc w:val="both"/>
        <w:rPr>
          <w:rFonts w:ascii="Arial" w:hAnsi="Arial" w:cs="Arial"/>
          <w:b/>
          <w:sz w:val="16"/>
          <w:szCs w:val="16"/>
        </w:rPr>
      </w:pPr>
    </w:p>
    <w:p w14:paraId="02DCFC90" w14:textId="7B900F49" w:rsidR="0021143E" w:rsidRDefault="00B13E3F" w:rsidP="00217331">
      <w:pPr>
        <w:pStyle w:val="Prrafodelista"/>
        <w:numPr>
          <w:ilvl w:val="0"/>
          <w:numId w:val="1"/>
        </w:numPr>
        <w:tabs>
          <w:tab w:val="left" w:pos="567"/>
        </w:tabs>
        <w:jc w:val="both"/>
        <w:rPr>
          <w:rFonts w:ascii="Arial" w:hAnsi="Arial" w:cs="Arial"/>
          <w:b/>
          <w:sz w:val="16"/>
          <w:szCs w:val="16"/>
        </w:rPr>
      </w:pPr>
      <w:r w:rsidRPr="0021143E">
        <w:rPr>
          <w:rFonts w:ascii="Arial" w:hAnsi="Arial" w:cs="Arial"/>
          <w:b/>
          <w:sz w:val="16"/>
          <w:szCs w:val="16"/>
        </w:rPr>
        <w:t>Precipitaciones: por encima o por debajo de lo normal.</w:t>
      </w:r>
    </w:p>
    <w:p w14:paraId="37DCBA21" w14:textId="0F3F5241" w:rsidR="0021143E" w:rsidRDefault="00B13E3F" w:rsidP="00217331">
      <w:pPr>
        <w:pStyle w:val="Prrafodelista"/>
        <w:numPr>
          <w:ilvl w:val="0"/>
          <w:numId w:val="1"/>
        </w:numPr>
        <w:tabs>
          <w:tab w:val="left" w:pos="567"/>
        </w:tabs>
        <w:jc w:val="both"/>
        <w:rPr>
          <w:rFonts w:ascii="Arial" w:hAnsi="Arial" w:cs="Arial"/>
          <w:b/>
          <w:sz w:val="16"/>
          <w:szCs w:val="16"/>
        </w:rPr>
      </w:pPr>
      <w:r w:rsidRPr="0021143E">
        <w:rPr>
          <w:rFonts w:ascii="Arial" w:hAnsi="Arial" w:cs="Arial"/>
          <w:b/>
          <w:sz w:val="16"/>
          <w:szCs w:val="16"/>
        </w:rPr>
        <w:t>Suelos: muy secos (rojo) o muy húmedos (azul).</w:t>
      </w:r>
    </w:p>
    <w:p w14:paraId="301DC543" w14:textId="0B432FC7" w:rsidR="0021143E" w:rsidRDefault="00B13E3F" w:rsidP="00217331">
      <w:pPr>
        <w:pStyle w:val="Prrafodelista"/>
        <w:numPr>
          <w:ilvl w:val="0"/>
          <w:numId w:val="1"/>
        </w:numPr>
        <w:tabs>
          <w:tab w:val="left" w:pos="567"/>
        </w:tabs>
        <w:jc w:val="both"/>
        <w:rPr>
          <w:rFonts w:ascii="Arial" w:hAnsi="Arial" w:cs="Arial"/>
          <w:b/>
          <w:sz w:val="16"/>
          <w:szCs w:val="16"/>
        </w:rPr>
      </w:pPr>
      <w:r w:rsidRPr="0021143E">
        <w:rPr>
          <w:rFonts w:ascii="Arial" w:hAnsi="Arial" w:cs="Arial"/>
          <w:b/>
          <w:sz w:val="16"/>
          <w:szCs w:val="16"/>
        </w:rPr>
        <w:t>Deslizamientos: amenaza muy alta (rojo).</w:t>
      </w:r>
    </w:p>
    <w:p w14:paraId="107D7075" w14:textId="684A67F1" w:rsidR="00B13E3F" w:rsidRPr="0021143E" w:rsidRDefault="00B13E3F" w:rsidP="00217331">
      <w:pPr>
        <w:pStyle w:val="Prrafodelista"/>
        <w:numPr>
          <w:ilvl w:val="0"/>
          <w:numId w:val="1"/>
        </w:numPr>
        <w:tabs>
          <w:tab w:val="left" w:pos="567"/>
        </w:tabs>
        <w:jc w:val="both"/>
        <w:rPr>
          <w:rFonts w:ascii="Arial" w:hAnsi="Arial" w:cs="Arial"/>
          <w:b/>
          <w:sz w:val="16"/>
          <w:szCs w:val="16"/>
        </w:rPr>
      </w:pPr>
      <w:r w:rsidRPr="0021143E">
        <w:rPr>
          <w:rFonts w:ascii="Arial" w:hAnsi="Arial" w:cs="Arial"/>
          <w:b/>
          <w:sz w:val="16"/>
          <w:szCs w:val="16"/>
        </w:rPr>
        <w:t>Incendios: probabilidad muy alta (rojo).</w:t>
      </w:r>
    </w:p>
    <w:p w14:paraId="374FEBD5" w14:textId="77777777" w:rsidR="00B13E3F" w:rsidRPr="00B13E3F" w:rsidRDefault="00B13E3F" w:rsidP="00B13E3F">
      <w:pPr>
        <w:tabs>
          <w:tab w:val="left" w:pos="567"/>
        </w:tabs>
        <w:contextualSpacing/>
        <w:jc w:val="both"/>
        <w:rPr>
          <w:rFonts w:ascii="Arial" w:hAnsi="Arial" w:cs="Arial"/>
          <w:b/>
          <w:sz w:val="16"/>
          <w:szCs w:val="16"/>
        </w:rPr>
      </w:pPr>
    </w:p>
    <w:p w14:paraId="10170E1E" w14:textId="1D9CAFF7" w:rsidR="00B13E3F" w:rsidRPr="00B13E3F" w:rsidRDefault="005B797A" w:rsidP="00B13E3F">
      <w:pPr>
        <w:tabs>
          <w:tab w:val="left" w:pos="567"/>
        </w:tabs>
        <w:contextualSpacing/>
        <w:jc w:val="both"/>
        <w:rPr>
          <w:rFonts w:ascii="Arial" w:hAnsi="Arial" w:cs="Arial"/>
          <w:b/>
          <w:sz w:val="16"/>
          <w:szCs w:val="16"/>
        </w:rPr>
      </w:pPr>
      <w:r>
        <w:rPr>
          <w:rFonts w:ascii="Arial" w:hAnsi="Arial" w:cs="Arial"/>
          <w:b/>
          <w:sz w:val="16"/>
          <w:szCs w:val="16"/>
        </w:rPr>
        <w:t>Para estos efectos, l</w:t>
      </w:r>
      <w:r w:rsidR="00B13E3F" w:rsidRPr="00B13E3F">
        <w:rPr>
          <w:rFonts w:ascii="Arial" w:hAnsi="Arial" w:cs="Arial"/>
          <w:b/>
          <w:sz w:val="16"/>
          <w:szCs w:val="16"/>
        </w:rPr>
        <w:t>a</w:t>
      </w:r>
      <w:r w:rsidR="00966A30">
        <w:rPr>
          <w:rFonts w:ascii="Arial" w:hAnsi="Arial" w:cs="Arial"/>
          <w:b/>
          <w:sz w:val="16"/>
          <w:szCs w:val="16"/>
        </w:rPr>
        <w:t>s</w:t>
      </w:r>
      <w:r w:rsidR="00B13E3F" w:rsidRPr="00B13E3F">
        <w:rPr>
          <w:rFonts w:ascii="Arial" w:hAnsi="Arial" w:cs="Arial"/>
          <w:b/>
          <w:sz w:val="16"/>
          <w:szCs w:val="16"/>
        </w:rPr>
        <w:t xml:space="preserve"> característica</w:t>
      </w:r>
      <w:r>
        <w:rPr>
          <w:rFonts w:ascii="Arial" w:hAnsi="Arial" w:cs="Arial"/>
          <w:b/>
          <w:sz w:val="16"/>
          <w:szCs w:val="16"/>
        </w:rPr>
        <w:t>s</w:t>
      </w:r>
      <w:r w:rsidR="00B13E3F" w:rsidRPr="00B13E3F">
        <w:rPr>
          <w:rFonts w:ascii="Arial" w:hAnsi="Arial" w:cs="Arial"/>
          <w:b/>
          <w:sz w:val="16"/>
          <w:szCs w:val="16"/>
        </w:rPr>
        <w:t xml:space="preserve"> “por encima</w:t>
      </w:r>
      <w:r>
        <w:rPr>
          <w:rFonts w:ascii="Arial" w:hAnsi="Arial" w:cs="Arial"/>
          <w:b/>
          <w:sz w:val="16"/>
          <w:szCs w:val="16"/>
        </w:rPr>
        <w:t xml:space="preserve">” o “por </w:t>
      </w:r>
      <w:r w:rsidR="00B13E3F" w:rsidRPr="00B13E3F">
        <w:rPr>
          <w:rFonts w:ascii="Arial" w:hAnsi="Arial" w:cs="Arial"/>
          <w:b/>
          <w:sz w:val="16"/>
          <w:szCs w:val="16"/>
        </w:rPr>
        <w:t>debajo”</w:t>
      </w:r>
      <w:r w:rsidR="00966A30">
        <w:rPr>
          <w:rFonts w:ascii="Arial" w:hAnsi="Arial" w:cs="Arial"/>
          <w:b/>
          <w:sz w:val="16"/>
          <w:szCs w:val="16"/>
        </w:rPr>
        <w:t>,</w:t>
      </w:r>
      <w:r w:rsidR="00B13E3F" w:rsidRPr="00B13E3F">
        <w:rPr>
          <w:rFonts w:ascii="Arial" w:hAnsi="Arial" w:cs="Arial"/>
          <w:b/>
          <w:sz w:val="16"/>
          <w:szCs w:val="16"/>
        </w:rPr>
        <w:t xml:space="preserve"> y </w:t>
      </w:r>
      <w:r>
        <w:rPr>
          <w:rFonts w:ascii="Arial" w:hAnsi="Arial" w:cs="Arial"/>
          <w:b/>
          <w:sz w:val="16"/>
          <w:szCs w:val="16"/>
        </w:rPr>
        <w:t>los colores</w:t>
      </w:r>
      <w:r w:rsidR="00E66896">
        <w:rPr>
          <w:rFonts w:ascii="Arial" w:hAnsi="Arial" w:cs="Arial"/>
          <w:b/>
          <w:sz w:val="16"/>
          <w:szCs w:val="16"/>
        </w:rPr>
        <w:t xml:space="preserve"> </w:t>
      </w:r>
      <w:r>
        <w:rPr>
          <w:rFonts w:ascii="Arial" w:hAnsi="Arial" w:cs="Arial"/>
          <w:b/>
          <w:sz w:val="16"/>
          <w:szCs w:val="16"/>
        </w:rPr>
        <w:t xml:space="preserve">“rojo” y “azul” </w:t>
      </w:r>
      <w:r w:rsidR="00E66896">
        <w:rPr>
          <w:rFonts w:ascii="Arial" w:hAnsi="Arial" w:cs="Arial"/>
          <w:b/>
          <w:sz w:val="16"/>
          <w:szCs w:val="16"/>
        </w:rPr>
        <w:t>se deben entender</w:t>
      </w:r>
      <w:r w:rsidR="00B13E3F" w:rsidRPr="00B13E3F">
        <w:rPr>
          <w:rFonts w:ascii="Arial" w:hAnsi="Arial" w:cs="Arial"/>
          <w:b/>
          <w:sz w:val="16"/>
          <w:szCs w:val="16"/>
        </w:rPr>
        <w:t xml:space="preserve"> </w:t>
      </w:r>
      <w:r w:rsidR="00966A30">
        <w:rPr>
          <w:rFonts w:ascii="Arial" w:hAnsi="Arial" w:cs="Arial"/>
          <w:b/>
          <w:sz w:val="16"/>
          <w:szCs w:val="16"/>
        </w:rPr>
        <w:t>de acuerdo con</w:t>
      </w:r>
      <w:r w:rsidR="00B13E3F" w:rsidRPr="00B13E3F">
        <w:rPr>
          <w:rFonts w:ascii="Arial" w:hAnsi="Arial" w:cs="Arial"/>
          <w:b/>
          <w:sz w:val="16"/>
          <w:szCs w:val="16"/>
        </w:rPr>
        <w:t xml:space="preserve"> el boletín del IDEAM referido en la sección “fuente” de este indicador. </w:t>
      </w:r>
    </w:p>
    <w:p w14:paraId="5F85502A" w14:textId="77777777" w:rsidR="00B13E3F" w:rsidRPr="00B13E3F" w:rsidRDefault="00B13E3F" w:rsidP="00B13E3F">
      <w:pPr>
        <w:tabs>
          <w:tab w:val="left" w:pos="567"/>
        </w:tabs>
        <w:contextualSpacing/>
        <w:jc w:val="both"/>
        <w:rPr>
          <w:rFonts w:ascii="Arial" w:hAnsi="Arial" w:cs="Arial"/>
          <w:b/>
          <w:sz w:val="16"/>
          <w:szCs w:val="16"/>
        </w:rPr>
      </w:pPr>
    </w:p>
    <w:p w14:paraId="52733A90" w14:textId="31F74302" w:rsidR="00B13E3F" w:rsidRPr="00B13E3F" w:rsidRDefault="001F711F"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Valor total de referencia</m:t>
        </m:r>
      </m:oMath>
      <w:r w:rsidR="00B13E3F" w:rsidRPr="00B13E3F">
        <w:rPr>
          <w:rFonts w:ascii="Arial" w:hAnsi="Arial" w:cs="Arial"/>
          <w:b/>
          <w:sz w:val="16"/>
          <w:szCs w:val="16"/>
        </w:rPr>
        <w:t xml:space="preserve">: </w:t>
      </w:r>
      <w:r>
        <w:rPr>
          <w:rFonts w:ascii="Arial" w:hAnsi="Arial" w:cs="Arial"/>
          <w:b/>
          <w:sz w:val="16"/>
          <w:szCs w:val="16"/>
        </w:rPr>
        <w:t>es la s</w:t>
      </w:r>
      <w:r w:rsidR="00B13E3F" w:rsidRPr="00B13E3F">
        <w:rPr>
          <w:rFonts w:ascii="Arial" w:hAnsi="Arial" w:cs="Arial"/>
          <w:b/>
          <w:sz w:val="16"/>
          <w:szCs w:val="16"/>
        </w:rPr>
        <w:t>umatoria de todas las exposiciones materiales de la entidad.</w:t>
      </w:r>
    </w:p>
    <w:p w14:paraId="299A8373" w14:textId="77777777" w:rsidR="00B13E3F" w:rsidRPr="00B13E3F" w:rsidRDefault="00B13E3F" w:rsidP="00B13E3F">
      <w:pPr>
        <w:tabs>
          <w:tab w:val="left" w:pos="567"/>
        </w:tabs>
        <w:contextualSpacing/>
        <w:jc w:val="both"/>
        <w:rPr>
          <w:rFonts w:ascii="Arial" w:hAnsi="Arial" w:cs="Arial"/>
          <w:b/>
          <w:sz w:val="16"/>
          <w:szCs w:val="16"/>
        </w:rPr>
      </w:pPr>
    </w:p>
    <w:p w14:paraId="27B1A427" w14:textId="1E0010C8" w:rsidR="00B13E3F" w:rsidRPr="00B13E3F" w:rsidRDefault="001F711F" w:rsidP="00B13E3F">
      <w:pPr>
        <w:tabs>
          <w:tab w:val="left" w:pos="567"/>
        </w:tabs>
        <w:contextualSpacing/>
        <w:jc w:val="both"/>
        <w:rPr>
          <w:rFonts w:ascii="Arial" w:hAnsi="Arial" w:cs="Arial"/>
          <w:b/>
          <w:sz w:val="16"/>
          <w:szCs w:val="16"/>
        </w:rPr>
      </w:pPr>
      <w:r>
        <w:rPr>
          <w:rFonts w:ascii="Arial" w:hAnsi="Arial" w:cs="Arial"/>
          <w:b/>
          <w:sz w:val="16"/>
          <w:szCs w:val="16"/>
        </w:rPr>
        <w:t>2.1.</w:t>
      </w:r>
      <w:r w:rsidR="00880473">
        <w:rPr>
          <w:rFonts w:ascii="Arial" w:hAnsi="Arial" w:cs="Arial"/>
          <w:b/>
          <w:sz w:val="16"/>
          <w:szCs w:val="16"/>
        </w:rPr>
        <w:t>5</w:t>
      </w:r>
      <w:r>
        <w:rPr>
          <w:rFonts w:ascii="Arial" w:hAnsi="Arial" w:cs="Arial"/>
          <w:b/>
          <w:sz w:val="16"/>
          <w:szCs w:val="16"/>
        </w:rPr>
        <w:t xml:space="preserve">. </w:t>
      </w:r>
      <w:r w:rsidR="00B13E3F" w:rsidRPr="00B13E3F">
        <w:rPr>
          <w:rFonts w:ascii="Arial" w:hAnsi="Arial" w:cs="Arial"/>
          <w:b/>
          <w:sz w:val="16"/>
          <w:szCs w:val="16"/>
        </w:rPr>
        <w:t xml:space="preserve">Interpretación del indicador: </w:t>
      </w:r>
    </w:p>
    <w:p w14:paraId="64F329AF" w14:textId="77777777" w:rsidR="00B13E3F" w:rsidRPr="00B13E3F" w:rsidRDefault="00B13E3F" w:rsidP="00B13E3F">
      <w:pPr>
        <w:tabs>
          <w:tab w:val="left" w:pos="567"/>
        </w:tabs>
        <w:contextualSpacing/>
        <w:jc w:val="both"/>
        <w:rPr>
          <w:rFonts w:ascii="Arial" w:hAnsi="Arial" w:cs="Arial"/>
          <w:b/>
          <w:sz w:val="16"/>
          <w:szCs w:val="16"/>
        </w:rPr>
      </w:pPr>
    </w:p>
    <w:p w14:paraId="5F92FD48" w14:textId="4B31A4FA"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0% – 20% (Bajo): </w:t>
      </w:r>
      <w:r w:rsidR="007726B0">
        <w:rPr>
          <w:rFonts w:ascii="Arial" w:hAnsi="Arial" w:cs="Arial"/>
          <w:b/>
          <w:sz w:val="16"/>
          <w:szCs w:val="16"/>
        </w:rPr>
        <w:t>u</w:t>
      </w:r>
      <w:r w:rsidRPr="00B13E3F">
        <w:rPr>
          <w:rFonts w:ascii="Arial" w:hAnsi="Arial" w:cs="Arial"/>
          <w:b/>
          <w:sz w:val="16"/>
          <w:szCs w:val="16"/>
        </w:rPr>
        <w:t xml:space="preserve">na pequeña parte del portafolio o cartera está expuesta a amenazas climáticas severas. </w:t>
      </w:r>
    </w:p>
    <w:p w14:paraId="2AB2555F" w14:textId="77777777" w:rsidR="001F711F" w:rsidRDefault="001F711F" w:rsidP="00B13E3F">
      <w:pPr>
        <w:tabs>
          <w:tab w:val="left" w:pos="567"/>
        </w:tabs>
        <w:contextualSpacing/>
        <w:jc w:val="both"/>
        <w:rPr>
          <w:rFonts w:ascii="Arial" w:hAnsi="Arial" w:cs="Arial"/>
          <w:b/>
          <w:sz w:val="16"/>
          <w:szCs w:val="16"/>
        </w:rPr>
      </w:pPr>
    </w:p>
    <w:p w14:paraId="250BA3C7" w14:textId="00456A01"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21% – 50% (Moderado): </w:t>
      </w:r>
      <w:r w:rsidR="007726B0">
        <w:rPr>
          <w:rFonts w:ascii="Arial" w:hAnsi="Arial" w:cs="Arial"/>
          <w:b/>
          <w:sz w:val="16"/>
          <w:szCs w:val="16"/>
        </w:rPr>
        <w:t>u</w:t>
      </w:r>
      <w:r w:rsidRPr="00B13E3F">
        <w:rPr>
          <w:rFonts w:ascii="Arial" w:hAnsi="Arial" w:cs="Arial"/>
          <w:b/>
          <w:sz w:val="16"/>
          <w:szCs w:val="16"/>
        </w:rPr>
        <w:t xml:space="preserve">na proporción parcial del portafolio o cartera está en zonas vulnerables. </w:t>
      </w:r>
    </w:p>
    <w:p w14:paraId="7784A455" w14:textId="77777777" w:rsidR="001F711F" w:rsidRDefault="001F711F" w:rsidP="00B13E3F">
      <w:pPr>
        <w:tabs>
          <w:tab w:val="left" w:pos="567"/>
        </w:tabs>
        <w:contextualSpacing/>
        <w:jc w:val="both"/>
        <w:rPr>
          <w:rFonts w:ascii="Arial" w:hAnsi="Arial" w:cs="Arial"/>
          <w:b/>
          <w:sz w:val="16"/>
          <w:szCs w:val="16"/>
        </w:rPr>
      </w:pPr>
    </w:p>
    <w:p w14:paraId="4A96BCFE" w14:textId="611B2C6F" w:rsid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51% – 80% (Alto): </w:t>
      </w:r>
      <w:r w:rsidR="007726B0">
        <w:rPr>
          <w:rFonts w:ascii="Arial" w:hAnsi="Arial" w:cs="Arial"/>
          <w:b/>
          <w:sz w:val="16"/>
          <w:szCs w:val="16"/>
        </w:rPr>
        <w:t>m</w:t>
      </w:r>
      <w:r w:rsidRPr="00B13E3F">
        <w:rPr>
          <w:rFonts w:ascii="Arial" w:hAnsi="Arial" w:cs="Arial"/>
          <w:b/>
          <w:sz w:val="16"/>
          <w:szCs w:val="16"/>
        </w:rPr>
        <w:t xml:space="preserve">ás de la mitad del portafolio o cartera está en riesgo. </w:t>
      </w:r>
    </w:p>
    <w:p w14:paraId="3043087F" w14:textId="77777777" w:rsidR="00486C28" w:rsidRPr="00B13E3F" w:rsidRDefault="00486C28" w:rsidP="00B13E3F">
      <w:pPr>
        <w:tabs>
          <w:tab w:val="left" w:pos="567"/>
        </w:tabs>
        <w:contextualSpacing/>
        <w:jc w:val="both"/>
        <w:rPr>
          <w:rFonts w:ascii="Arial" w:hAnsi="Arial" w:cs="Arial"/>
          <w:b/>
          <w:sz w:val="16"/>
          <w:szCs w:val="16"/>
        </w:rPr>
      </w:pPr>
    </w:p>
    <w:p w14:paraId="13DD42DA" w14:textId="7AFBD421"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81% – 100% (Muy alto): </w:t>
      </w:r>
      <w:r w:rsidR="007726B0">
        <w:rPr>
          <w:rFonts w:ascii="Arial" w:hAnsi="Arial" w:cs="Arial"/>
          <w:b/>
          <w:sz w:val="16"/>
          <w:szCs w:val="16"/>
        </w:rPr>
        <w:t>c</w:t>
      </w:r>
      <w:r w:rsidRPr="00B13E3F">
        <w:rPr>
          <w:rFonts w:ascii="Arial" w:hAnsi="Arial" w:cs="Arial"/>
          <w:b/>
          <w:sz w:val="16"/>
          <w:szCs w:val="16"/>
        </w:rPr>
        <w:t xml:space="preserve">asi todo o todo el portafolio o cartera está expuesto. </w:t>
      </w:r>
    </w:p>
    <w:p w14:paraId="2A5A7239" w14:textId="77777777" w:rsidR="00B13E3F" w:rsidRPr="00B13E3F" w:rsidRDefault="00B13E3F" w:rsidP="00B13E3F">
      <w:pPr>
        <w:tabs>
          <w:tab w:val="left" w:pos="567"/>
        </w:tabs>
        <w:contextualSpacing/>
        <w:jc w:val="both"/>
        <w:rPr>
          <w:rFonts w:ascii="Arial" w:hAnsi="Arial" w:cs="Arial"/>
          <w:b/>
          <w:sz w:val="16"/>
          <w:szCs w:val="16"/>
        </w:rPr>
      </w:pPr>
    </w:p>
    <w:p w14:paraId="6ADCC40E" w14:textId="3D278144" w:rsidR="00B13E3F" w:rsidRPr="00B13E3F" w:rsidRDefault="00513BD4" w:rsidP="00B13E3F">
      <w:pPr>
        <w:tabs>
          <w:tab w:val="left" w:pos="567"/>
        </w:tabs>
        <w:contextualSpacing/>
        <w:jc w:val="both"/>
        <w:rPr>
          <w:rFonts w:ascii="Arial" w:hAnsi="Arial" w:cs="Arial"/>
          <w:b/>
          <w:sz w:val="16"/>
          <w:szCs w:val="16"/>
        </w:rPr>
      </w:pPr>
      <w:r>
        <w:rPr>
          <w:rFonts w:ascii="Arial" w:hAnsi="Arial" w:cs="Arial"/>
          <w:b/>
          <w:sz w:val="16"/>
          <w:szCs w:val="16"/>
        </w:rPr>
        <w:t>2.1.</w:t>
      </w:r>
      <w:r w:rsidR="00942A59">
        <w:rPr>
          <w:rFonts w:ascii="Arial" w:hAnsi="Arial" w:cs="Arial"/>
          <w:b/>
          <w:sz w:val="16"/>
          <w:szCs w:val="16"/>
        </w:rPr>
        <w:t>6</w:t>
      </w:r>
      <w:r>
        <w:rPr>
          <w:rFonts w:ascii="Arial" w:hAnsi="Arial" w:cs="Arial"/>
          <w:b/>
          <w:sz w:val="16"/>
          <w:szCs w:val="16"/>
        </w:rPr>
        <w:t xml:space="preserve">. </w:t>
      </w:r>
      <w:r w:rsidR="00B13E3F" w:rsidRPr="00B13E3F">
        <w:rPr>
          <w:rFonts w:ascii="Arial" w:hAnsi="Arial" w:cs="Arial"/>
          <w:b/>
          <w:sz w:val="16"/>
          <w:szCs w:val="16"/>
        </w:rPr>
        <w:t>Fuente: IDEAM Boletín - Informe de predicción climática.</w:t>
      </w:r>
    </w:p>
    <w:p w14:paraId="325A34A3" w14:textId="77777777" w:rsidR="00B13E3F" w:rsidRPr="00B13E3F" w:rsidRDefault="00B13E3F" w:rsidP="00B13E3F">
      <w:pPr>
        <w:tabs>
          <w:tab w:val="left" w:pos="567"/>
        </w:tabs>
        <w:contextualSpacing/>
        <w:jc w:val="both"/>
        <w:rPr>
          <w:rFonts w:ascii="Arial" w:hAnsi="Arial" w:cs="Arial"/>
          <w:b/>
          <w:sz w:val="16"/>
          <w:szCs w:val="16"/>
        </w:rPr>
      </w:pPr>
    </w:p>
    <w:p w14:paraId="49A22C41" w14:textId="133BFCE4" w:rsidR="00B13E3F" w:rsidRPr="00B13E3F" w:rsidRDefault="00513BD4" w:rsidP="00B13E3F">
      <w:pPr>
        <w:tabs>
          <w:tab w:val="left" w:pos="567"/>
        </w:tabs>
        <w:contextualSpacing/>
        <w:jc w:val="both"/>
        <w:rPr>
          <w:rFonts w:ascii="Arial" w:hAnsi="Arial" w:cs="Arial"/>
          <w:b/>
          <w:sz w:val="16"/>
          <w:szCs w:val="16"/>
        </w:rPr>
      </w:pPr>
      <w:r>
        <w:rPr>
          <w:rFonts w:ascii="Arial" w:hAnsi="Arial" w:cs="Arial"/>
          <w:b/>
          <w:sz w:val="16"/>
          <w:szCs w:val="16"/>
        </w:rPr>
        <w:t>2.1.</w:t>
      </w:r>
      <w:r w:rsidR="00942A59">
        <w:rPr>
          <w:rFonts w:ascii="Arial" w:hAnsi="Arial" w:cs="Arial"/>
          <w:b/>
          <w:sz w:val="16"/>
          <w:szCs w:val="16"/>
        </w:rPr>
        <w:t>7</w:t>
      </w:r>
      <w:r>
        <w:rPr>
          <w:rFonts w:ascii="Arial" w:hAnsi="Arial" w:cs="Arial"/>
          <w:b/>
          <w:sz w:val="16"/>
          <w:szCs w:val="16"/>
        </w:rPr>
        <w:t xml:space="preserve">. </w:t>
      </w:r>
      <w:r w:rsidR="00B13E3F" w:rsidRPr="00B13E3F">
        <w:rPr>
          <w:rFonts w:ascii="Arial" w:hAnsi="Arial" w:cs="Arial"/>
          <w:b/>
          <w:sz w:val="16"/>
          <w:szCs w:val="16"/>
        </w:rPr>
        <w:t xml:space="preserve">Cobertura: </w:t>
      </w:r>
      <w:r w:rsidR="006811AF">
        <w:rPr>
          <w:rFonts w:ascii="Arial" w:hAnsi="Arial" w:cs="Arial"/>
          <w:b/>
          <w:sz w:val="16"/>
          <w:szCs w:val="16"/>
        </w:rPr>
        <w:t>D</w:t>
      </w:r>
      <w:r w:rsidR="00B13E3F" w:rsidRPr="00B13E3F">
        <w:rPr>
          <w:rFonts w:ascii="Arial" w:hAnsi="Arial" w:cs="Arial"/>
          <w:b/>
          <w:sz w:val="16"/>
          <w:szCs w:val="16"/>
        </w:rPr>
        <w:t>epartamental.</w:t>
      </w:r>
    </w:p>
    <w:p w14:paraId="514A0631" w14:textId="77777777" w:rsidR="00B13E3F" w:rsidRPr="00B13E3F" w:rsidRDefault="00B13E3F" w:rsidP="00B13E3F">
      <w:pPr>
        <w:tabs>
          <w:tab w:val="left" w:pos="567"/>
        </w:tabs>
        <w:contextualSpacing/>
        <w:jc w:val="both"/>
        <w:rPr>
          <w:rFonts w:ascii="Arial" w:hAnsi="Arial" w:cs="Arial"/>
          <w:b/>
          <w:sz w:val="16"/>
          <w:szCs w:val="16"/>
        </w:rPr>
      </w:pPr>
    </w:p>
    <w:p w14:paraId="33180117" w14:textId="77777777" w:rsidR="00D40A9B" w:rsidRDefault="00D40A9B" w:rsidP="00B13E3F">
      <w:pPr>
        <w:tabs>
          <w:tab w:val="left" w:pos="567"/>
        </w:tabs>
        <w:contextualSpacing/>
        <w:jc w:val="both"/>
        <w:rPr>
          <w:rFonts w:ascii="Arial" w:hAnsi="Arial" w:cs="Arial"/>
          <w:b/>
          <w:sz w:val="16"/>
          <w:szCs w:val="16"/>
        </w:rPr>
      </w:pPr>
    </w:p>
    <w:p w14:paraId="1FDC6CE8" w14:textId="70BA388A" w:rsidR="00B13E3F" w:rsidRPr="00B13E3F" w:rsidRDefault="000764C2" w:rsidP="00B13E3F">
      <w:pPr>
        <w:tabs>
          <w:tab w:val="left" w:pos="567"/>
        </w:tabs>
        <w:contextualSpacing/>
        <w:jc w:val="both"/>
        <w:rPr>
          <w:rFonts w:ascii="Arial" w:hAnsi="Arial" w:cs="Arial"/>
          <w:b/>
          <w:sz w:val="16"/>
          <w:szCs w:val="16"/>
        </w:rPr>
      </w:pPr>
      <w:r>
        <w:rPr>
          <w:rFonts w:ascii="Arial" w:hAnsi="Arial" w:cs="Arial"/>
          <w:b/>
          <w:sz w:val="16"/>
          <w:szCs w:val="16"/>
        </w:rPr>
        <w:t xml:space="preserve">2.2. </w:t>
      </w:r>
      <w:r w:rsidR="00B13E3F" w:rsidRPr="00B13E3F">
        <w:rPr>
          <w:rFonts w:ascii="Arial" w:hAnsi="Arial" w:cs="Arial"/>
          <w:b/>
          <w:sz w:val="16"/>
          <w:szCs w:val="16"/>
        </w:rPr>
        <w:t>Índice de exposición agregada a riesgos físicos</w:t>
      </w:r>
    </w:p>
    <w:p w14:paraId="664AB15B" w14:textId="77777777" w:rsidR="00B13E3F" w:rsidRPr="00B13E3F" w:rsidRDefault="00B13E3F" w:rsidP="00B13E3F">
      <w:pPr>
        <w:tabs>
          <w:tab w:val="left" w:pos="567"/>
        </w:tabs>
        <w:contextualSpacing/>
        <w:jc w:val="both"/>
        <w:rPr>
          <w:rFonts w:ascii="Arial" w:hAnsi="Arial" w:cs="Arial"/>
          <w:b/>
          <w:sz w:val="16"/>
          <w:szCs w:val="16"/>
        </w:rPr>
      </w:pPr>
    </w:p>
    <w:p w14:paraId="5A82EF49" w14:textId="77C7315B" w:rsidR="00B13E3F" w:rsidRPr="00B13E3F" w:rsidRDefault="000764C2" w:rsidP="00B13E3F">
      <w:pPr>
        <w:tabs>
          <w:tab w:val="left" w:pos="567"/>
        </w:tabs>
        <w:contextualSpacing/>
        <w:jc w:val="both"/>
        <w:rPr>
          <w:rFonts w:ascii="Arial" w:hAnsi="Arial" w:cs="Arial"/>
          <w:b/>
          <w:sz w:val="16"/>
          <w:szCs w:val="16"/>
        </w:rPr>
      </w:pPr>
      <w:r>
        <w:rPr>
          <w:rFonts w:ascii="Arial" w:hAnsi="Arial" w:cs="Arial"/>
          <w:b/>
          <w:sz w:val="16"/>
          <w:szCs w:val="16"/>
        </w:rPr>
        <w:t xml:space="preserve">2.2.1. </w:t>
      </w:r>
      <w:r w:rsidR="00B13E3F" w:rsidRPr="00B13E3F">
        <w:rPr>
          <w:rFonts w:ascii="Arial" w:hAnsi="Arial" w:cs="Arial"/>
          <w:b/>
          <w:sz w:val="16"/>
          <w:szCs w:val="16"/>
        </w:rPr>
        <w:t xml:space="preserve">Tipo de indicador: </w:t>
      </w:r>
      <w:r w:rsidR="007726B0">
        <w:rPr>
          <w:rFonts w:ascii="Arial" w:hAnsi="Arial" w:cs="Arial"/>
          <w:b/>
          <w:sz w:val="16"/>
          <w:szCs w:val="16"/>
        </w:rPr>
        <w:t>a</w:t>
      </w:r>
      <w:r w:rsidR="00B13E3F" w:rsidRPr="00B13E3F">
        <w:rPr>
          <w:rFonts w:ascii="Arial" w:hAnsi="Arial" w:cs="Arial"/>
          <w:b/>
          <w:sz w:val="16"/>
          <w:szCs w:val="16"/>
        </w:rPr>
        <w:t>mbiental.</w:t>
      </w:r>
    </w:p>
    <w:p w14:paraId="6C22ADB1" w14:textId="77777777" w:rsidR="00B13E3F" w:rsidRPr="00B13E3F" w:rsidRDefault="00B13E3F" w:rsidP="00B13E3F">
      <w:pPr>
        <w:tabs>
          <w:tab w:val="left" w:pos="567"/>
        </w:tabs>
        <w:contextualSpacing/>
        <w:jc w:val="both"/>
        <w:rPr>
          <w:rFonts w:ascii="Arial" w:hAnsi="Arial" w:cs="Arial"/>
          <w:b/>
          <w:sz w:val="16"/>
          <w:szCs w:val="16"/>
        </w:rPr>
      </w:pPr>
    </w:p>
    <w:p w14:paraId="096E47E8" w14:textId="7C5ECDCF" w:rsidR="00B13E3F" w:rsidRPr="00B13E3F" w:rsidRDefault="007726B0" w:rsidP="00B13E3F">
      <w:pPr>
        <w:tabs>
          <w:tab w:val="left" w:pos="567"/>
        </w:tabs>
        <w:contextualSpacing/>
        <w:jc w:val="both"/>
        <w:rPr>
          <w:rFonts w:ascii="Arial" w:hAnsi="Arial" w:cs="Arial"/>
          <w:b/>
          <w:sz w:val="16"/>
          <w:szCs w:val="16"/>
        </w:rPr>
      </w:pPr>
      <w:r>
        <w:rPr>
          <w:rFonts w:ascii="Arial" w:hAnsi="Arial" w:cs="Arial"/>
          <w:b/>
          <w:sz w:val="16"/>
          <w:szCs w:val="16"/>
        </w:rPr>
        <w:t xml:space="preserve">2.2.2. </w:t>
      </w:r>
      <w:r w:rsidR="00B13E3F" w:rsidRPr="00B13E3F">
        <w:rPr>
          <w:rFonts w:ascii="Arial" w:hAnsi="Arial" w:cs="Arial"/>
          <w:b/>
          <w:sz w:val="16"/>
          <w:szCs w:val="16"/>
        </w:rPr>
        <w:t xml:space="preserve">Propósito: </w:t>
      </w:r>
      <w:r>
        <w:rPr>
          <w:rFonts w:ascii="Arial" w:hAnsi="Arial" w:cs="Arial"/>
          <w:b/>
          <w:sz w:val="16"/>
          <w:szCs w:val="16"/>
        </w:rPr>
        <w:t>m</w:t>
      </w:r>
      <w:r w:rsidR="00B13E3F" w:rsidRPr="00B13E3F">
        <w:rPr>
          <w:rFonts w:ascii="Arial" w:hAnsi="Arial" w:cs="Arial"/>
          <w:b/>
          <w:sz w:val="16"/>
          <w:szCs w:val="16"/>
        </w:rPr>
        <w:t xml:space="preserve">ide la vulnerabilidad total de un portafolio de activos o cartera frente a múltiples amenazas climáticas de origen físico, integrando distintas categorías de riesgo mediante ponderadores. Permite una evaluación más completa y ajustada del nivel de exposición climática. </w:t>
      </w:r>
    </w:p>
    <w:p w14:paraId="66C93245" w14:textId="77777777" w:rsidR="00B13E3F" w:rsidRPr="00B13E3F" w:rsidRDefault="00B13E3F" w:rsidP="00B13E3F">
      <w:pPr>
        <w:tabs>
          <w:tab w:val="left" w:pos="567"/>
        </w:tabs>
        <w:contextualSpacing/>
        <w:jc w:val="both"/>
        <w:rPr>
          <w:rFonts w:ascii="Arial" w:hAnsi="Arial" w:cs="Arial"/>
          <w:b/>
          <w:sz w:val="16"/>
          <w:szCs w:val="16"/>
        </w:rPr>
      </w:pPr>
    </w:p>
    <w:p w14:paraId="4F9A7A99" w14:textId="6988208C" w:rsid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El índice de exposición agregada combina las distintas amenazas (precipitaciones extremas, sequías, deslizamientos e incendios forestales) obtenidos </w:t>
      </w:r>
      <w:r w:rsidR="00A72C77">
        <w:rPr>
          <w:rFonts w:ascii="Arial" w:hAnsi="Arial" w:cs="Arial"/>
          <w:b/>
          <w:sz w:val="16"/>
          <w:szCs w:val="16"/>
        </w:rPr>
        <w:t>a partir de las categorías de los literales (a), (b), (c) y (d) del indicador anterior</w:t>
      </w:r>
      <w:r w:rsidRPr="00B13E3F">
        <w:rPr>
          <w:rFonts w:ascii="Arial" w:hAnsi="Arial" w:cs="Arial"/>
          <w:b/>
          <w:sz w:val="16"/>
          <w:szCs w:val="16"/>
        </w:rPr>
        <w:t>, que analizan la exposición por categoría individual. En este caso, se definen ponderadores para capturar la complejidad y simultaneidad de los riesgos climáticos.</w:t>
      </w:r>
    </w:p>
    <w:p w14:paraId="38DD8F01" w14:textId="77777777" w:rsidR="004F7EE5" w:rsidRDefault="004F7EE5" w:rsidP="00B13E3F">
      <w:pPr>
        <w:tabs>
          <w:tab w:val="left" w:pos="567"/>
        </w:tabs>
        <w:contextualSpacing/>
        <w:jc w:val="both"/>
        <w:rPr>
          <w:rFonts w:ascii="Arial" w:hAnsi="Arial" w:cs="Arial"/>
          <w:b/>
          <w:sz w:val="16"/>
          <w:szCs w:val="16"/>
        </w:rPr>
      </w:pPr>
    </w:p>
    <w:p w14:paraId="47195AC5" w14:textId="32A1EA8E" w:rsidR="004F7EE5" w:rsidRPr="00B13E3F" w:rsidRDefault="004F7EE5" w:rsidP="00B13E3F">
      <w:pPr>
        <w:tabs>
          <w:tab w:val="left" w:pos="567"/>
        </w:tabs>
        <w:contextualSpacing/>
        <w:jc w:val="both"/>
        <w:rPr>
          <w:rFonts w:ascii="Arial" w:hAnsi="Arial" w:cs="Arial"/>
          <w:b/>
          <w:sz w:val="16"/>
          <w:szCs w:val="16"/>
        </w:rPr>
      </w:pPr>
      <w:r>
        <w:rPr>
          <w:rFonts w:ascii="Arial" w:hAnsi="Arial" w:cs="Arial"/>
          <w:b/>
          <w:sz w:val="16"/>
          <w:szCs w:val="16"/>
        </w:rPr>
        <w:t>Este indicador puede ser utilizado por los e</w:t>
      </w:r>
      <w:r w:rsidRPr="00B13E3F">
        <w:rPr>
          <w:rFonts w:ascii="Arial" w:hAnsi="Arial" w:cs="Arial"/>
          <w:b/>
          <w:sz w:val="16"/>
          <w:szCs w:val="16"/>
        </w:rPr>
        <w:t xml:space="preserve">stablecimientos de </w:t>
      </w:r>
      <w:r w:rsidR="00BD1260">
        <w:rPr>
          <w:rFonts w:ascii="Arial" w:hAnsi="Arial" w:cs="Arial"/>
          <w:b/>
          <w:sz w:val="16"/>
          <w:szCs w:val="16"/>
        </w:rPr>
        <w:t>c</w:t>
      </w:r>
      <w:r w:rsidRPr="00B13E3F">
        <w:rPr>
          <w:rFonts w:ascii="Arial" w:hAnsi="Arial" w:cs="Arial"/>
          <w:b/>
          <w:sz w:val="16"/>
          <w:szCs w:val="16"/>
        </w:rPr>
        <w:t>rédito</w:t>
      </w:r>
      <w:r>
        <w:rPr>
          <w:rFonts w:ascii="Arial" w:hAnsi="Arial" w:cs="Arial"/>
          <w:b/>
          <w:sz w:val="16"/>
          <w:szCs w:val="16"/>
        </w:rPr>
        <w:t>, las entidades a</w:t>
      </w:r>
      <w:r w:rsidRPr="00B13E3F">
        <w:rPr>
          <w:rFonts w:ascii="Arial" w:hAnsi="Arial" w:cs="Arial"/>
          <w:b/>
          <w:sz w:val="16"/>
          <w:szCs w:val="16"/>
        </w:rPr>
        <w:t>seguradoras y</w:t>
      </w:r>
      <w:r>
        <w:rPr>
          <w:rFonts w:ascii="Arial" w:hAnsi="Arial" w:cs="Arial"/>
          <w:b/>
          <w:sz w:val="16"/>
          <w:szCs w:val="16"/>
        </w:rPr>
        <w:t xml:space="preserve"> las entidades que administran recursos de terceros. </w:t>
      </w:r>
    </w:p>
    <w:p w14:paraId="745E313F" w14:textId="77777777" w:rsidR="00B13E3F" w:rsidRPr="00B13E3F" w:rsidRDefault="00B13E3F" w:rsidP="00B13E3F">
      <w:pPr>
        <w:tabs>
          <w:tab w:val="left" w:pos="567"/>
        </w:tabs>
        <w:contextualSpacing/>
        <w:jc w:val="both"/>
        <w:rPr>
          <w:rFonts w:ascii="Arial" w:hAnsi="Arial" w:cs="Arial"/>
          <w:b/>
          <w:sz w:val="16"/>
          <w:szCs w:val="16"/>
        </w:rPr>
      </w:pPr>
    </w:p>
    <w:p w14:paraId="5C942CC7" w14:textId="58E739E0" w:rsidR="00B13E3F" w:rsidRPr="00B13E3F" w:rsidRDefault="004F7EE5" w:rsidP="00B13E3F">
      <w:pPr>
        <w:tabs>
          <w:tab w:val="left" w:pos="567"/>
        </w:tabs>
        <w:contextualSpacing/>
        <w:jc w:val="both"/>
        <w:rPr>
          <w:rFonts w:ascii="Arial" w:hAnsi="Arial" w:cs="Arial"/>
          <w:b/>
          <w:sz w:val="16"/>
          <w:szCs w:val="16"/>
        </w:rPr>
      </w:pPr>
      <w:r>
        <w:rPr>
          <w:rFonts w:ascii="Arial" w:hAnsi="Arial" w:cs="Arial"/>
          <w:b/>
          <w:sz w:val="16"/>
          <w:szCs w:val="16"/>
        </w:rPr>
        <w:t xml:space="preserve">2.2.3. </w:t>
      </w:r>
      <w:r w:rsidR="00B13E3F" w:rsidRPr="00B13E3F">
        <w:rPr>
          <w:rFonts w:ascii="Arial" w:hAnsi="Arial" w:cs="Arial"/>
          <w:b/>
          <w:sz w:val="16"/>
          <w:szCs w:val="16"/>
        </w:rPr>
        <w:t xml:space="preserve">Fórmula: </w:t>
      </w:r>
    </w:p>
    <w:p w14:paraId="3B86C7E7" w14:textId="77777777" w:rsidR="00B13E3F" w:rsidRPr="00B13E3F" w:rsidRDefault="00B13E3F" w:rsidP="00B13E3F">
      <w:pPr>
        <w:tabs>
          <w:tab w:val="left" w:pos="567"/>
        </w:tabs>
        <w:contextualSpacing/>
        <w:jc w:val="both"/>
        <w:rPr>
          <w:rFonts w:ascii="Arial" w:hAnsi="Arial" w:cs="Arial"/>
          <w:b/>
          <w:sz w:val="16"/>
          <w:szCs w:val="16"/>
        </w:rPr>
      </w:pPr>
    </w:p>
    <w:p w14:paraId="2F8E6837" w14:textId="2D2FB472" w:rsidR="00393997" w:rsidRPr="00C44BD4" w:rsidRDefault="00584A2E" w:rsidP="00393997">
      <w:pPr>
        <w:jc w:val="both"/>
        <w:rPr>
          <w:rFonts w:ascii="Verdana" w:hAnsi="Verdana"/>
          <w:b/>
          <w:bCs/>
          <w:i/>
          <w:sz w:val="16"/>
          <w:szCs w:val="16"/>
        </w:rPr>
      </w:pPr>
      <m:oMathPara>
        <m:oMath>
          <m:nary>
            <m:naryPr>
              <m:chr m:val="∑"/>
              <m:limLoc m:val="undOvr"/>
              <m:subHide m:val="1"/>
              <m:supHide m:val="1"/>
              <m:ctrlPr>
                <w:rPr>
                  <w:rFonts w:ascii="Cambria Math" w:hAnsi="Cambria Math"/>
                  <w:b/>
                  <w:bCs/>
                  <w:i/>
                  <w:sz w:val="16"/>
                  <w:szCs w:val="16"/>
                </w:rPr>
              </m:ctrlPr>
            </m:naryPr>
            <m:sub/>
            <m:sup/>
            <m:e>
              <m:r>
                <m:rPr>
                  <m:sty m:val="bi"/>
                </m:rPr>
                <w:rPr>
                  <w:rFonts w:ascii="Cambria Math" w:hAnsi="Cambria Math"/>
                  <w:sz w:val="16"/>
                  <w:szCs w:val="16"/>
                </w:rPr>
                <m:t>IERF</m:t>
              </m:r>
            </m:e>
          </m:nary>
          <m:r>
            <m:rPr>
              <m:sty m:val="bi"/>
            </m:rPr>
            <w:rPr>
              <w:rFonts w:ascii="Cambria Math" w:hAnsi="Cambria Math" w:cs="Cambria Math"/>
              <w:sz w:val="16"/>
              <w:szCs w:val="16"/>
            </w:rPr>
            <m:t>=</m:t>
          </m:r>
          <m:f>
            <m:fPr>
              <m:ctrlPr>
                <w:rPr>
                  <w:rFonts w:ascii="Cambria Math" w:hAnsi="Cambria Math"/>
                  <w:b/>
                  <w:bCs/>
                  <w:i/>
                  <w:sz w:val="16"/>
                  <w:szCs w:val="16"/>
                </w:rPr>
              </m:ctrlPr>
            </m:fPr>
            <m:num>
              <m:r>
                <m:rPr>
                  <m:sty m:val="bi"/>
                </m:rPr>
                <w:rPr>
                  <w:rFonts w:ascii="Cambria Math" w:hAnsi="Cambria Math"/>
                  <w:sz w:val="16"/>
                  <w:szCs w:val="16"/>
                </w:rPr>
                <m:t>∑(</m:t>
              </m:r>
              <m:r>
                <m:rPr>
                  <m:sty m:val="bi"/>
                </m:rPr>
                <w:rPr>
                  <w:rFonts w:ascii="Cambria Math" w:hAnsi="Cambria Math"/>
                  <w:sz w:val="16"/>
                  <w:szCs w:val="16"/>
                </w:rPr>
                <m:t>FIA</m:t>
              </m:r>
              <m:r>
                <m:rPr>
                  <m:sty m:val="bi"/>
                </m:rPr>
                <w:rPr>
                  <w:rFonts w:ascii="Cambria Math" w:hAnsi="Cambria Math"/>
                  <w:sz w:val="16"/>
                  <w:szCs w:val="16"/>
                </w:rPr>
                <m:t xml:space="preserve"> </m:t>
              </m:r>
              <m:r>
                <m:rPr>
                  <m:sty m:val="bi"/>
                </m:rPr>
                <w:rPr>
                  <w:rFonts w:ascii="Cambria Math" w:hAnsi="Cambria Math"/>
                  <w:sz w:val="16"/>
                  <w:szCs w:val="16"/>
                </w:rPr>
                <m:t>en</m:t>
              </m:r>
              <m:r>
                <m:rPr>
                  <m:sty m:val="bi"/>
                </m:rPr>
                <w:rPr>
                  <w:rFonts w:ascii="Cambria Math" w:hAnsi="Cambria Math"/>
                  <w:sz w:val="16"/>
                  <w:szCs w:val="16"/>
                </w:rPr>
                <m:t xml:space="preserve"> </m:t>
              </m:r>
              <m:r>
                <m:rPr>
                  <m:sty m:val="bi"/>
                </m:rPr>
                <w:rPr>
                  <w:rFonts w:ascii="Cambria Math" w:hAnsi="Cambria Math"/>
                  <w:sz w:val="16"/>
                  <w:szCs w:val="16"/>
                </w:rPr>
                <m:t>zonas</m:t>
              </m:r>
              <m:r>
                <m:rPr>
                  <m:sty m:val="bi"/>
                </m:rPr>
                <w:rPr>
                  <w:rFonts w:ascii="Cambria Math" w:hAnsi="Cambria Math"/>
                  <w:sz w:val="16"/>
                  <w:szCs w:val="16"/>
                </w:rPr>
                <m:t xml:space="preserve"> </m:t>
              </m:r>
              <m:r>
                <m:rPr>
                  <m:sty m:val="bi"/>
                </m:rPr>
                <w:rPr>
                  <w:rFonts w:ascii="Cambria Math" w:hAnsi="Cambria Math"/>
                  <w:sz w:val="16"/>
                  <w:szCs w:val="16"/>
                </w:rPr>
                <m:t>de</m:t>
              </m:r>
              <m:r>
                <m:rPr>
                  <m:sty m:val="bi"/>
                </m:rPr>
                <w:rPr>
                  <w:rFonts w:ascii="Cambria Math" w:hAnsi="Cambria Math"/>
                  <w:sz w:val="16"/>
                  <w:szCs w:val="16"/>
                </w:rPr>
                <m:t xml:space="preserve"> </m:t>
              </m:r>
              <m:r>
                <m:rPr>
                  <m:sty m:val="bi"/>
                </m:rPr>
                <w:rPr>
                  <w:rFonts w:ascii="Cambria Math" w:hAnsi="Cambria Math"/>
                  <w:sz w:val="16"/>
                  <w:szCs w:val="16"/>
                </w:rPr>
                <m:t>alta</m:t>
              </m:r>
              <m:r>
                <m:rPr>
                  <m:sty m:val="bi"/>
                </m:rPr>
                <w:rPr>
                  <w:rFonts w:ascii="Cambria Math" w:hAnsi="Cambria Math"/>
                  <w:sz w:val="16"/>
                  <w:szCs w:val="16"/>
                </w:rPr>
                <m:t xml:space="preserve"> </m:t>
              </m:r>
              <m:r>
                <m:rPr>
                  <m:sty m:val="bi"/>
                </m:rPr>
                <w:rPr>
                  <w:rFonts w:ascii="Cambria Math" w:hAnsi="Cambria Math"/>
                  <w:sz w:val="16"/>
                  <w:szCs w:val="16"/>
                </w:rPr>
                <m:t>vulnerabilidad</m:t>
              </m:r>
              <m:r>
                <m:rPr>
                  <m:sty m:val="bi"/>
                </m:rPr>
                <w:rPr>
                  <w:rFonts w:ascii="Cambria Math" w:hAnsi="Cambria Math"/>
                  <w:sz w:val="16"/>
                  <w:szCs w:val="16"/>
                </w:rPr>
                <m:t xml:space="preserve"> </m:t>
              </m:r>
              <m:r>
                <m:rPr>
                  <m:sty m:val="bi"/>
                </m:rPr>
                <w:rPr>
                  <w:rFonts w:ascii="Cambria Math" w:hAnsi="Cambria Math"/>
                  <w:sz w:val="16"/>
                  <w:szCs w:val="16"/>
                </w:rPr>
                <m:t>clim</m:t>
              </m:r>
              <m:r>
                <m:rPr>
                  <m:sty m:val="bi"/>
                </m:rPr>
                <w:rPr>
                  <w:rFonts w:ascii="Cambria Math" w:hAnsi="Cambria Math"/>
                  <w:sz w:val="16"/>
                  <w:szCs w:val="16"/>
                </w:rPr>
                <m:t>á</m:t>
              </m:r>
              <m:r>
                <m:rPr>
                  <m:sty m:val="bi"/>
                </m:rPr>
                <w:rPr>
                  <w:rFonts w:ascii="Cambria Math" w:hAnsi="Cambria Math"/>
                  <w:sz w:val="16"/>
                  <w:szCs w:val="16"/>
                </w:rPr>
                <m:t>tica</m:t>
              </m:r>
              <m:r>
                <m:rPr>
                  <m:sty m:val="bi"/>
                </m:rPr>
                <w:rPr>
                  <w:rFonts w:ascii="Cambria Math" w:hAnsi="Cambria Math"/>
                  <w:sz w:val="16"/>
                  <w:szCs w:val="16"/>
                </w:rPr>
                <m:t xml:space="preserve"> * </m:t>
              </m:r>
              <m:r>
                <m:rPr>
                  <m:sty m:val="bi"/>
                </m:rPr>
                <w:rPr>
                  <w:rFonts w:ascii="Cambria Math" w:hAnsi="Cambria Math"/>
                  <w:sz w:val="16"/>
                  <w:szCs w:val="16"/>
                </w:rPr>
                <m:t>Ponderador</m:t>
              </m:r>
              <m:r>
                <m:rPr>
                  <m:sty m:val="bi"/>
                </m:rPr>
                <w:rPr>
                  <w:rFonts w:ascii="Cambria Math" w:hAnsi="Cambria Math"/>
                  <w:sz w:val="16"/>
                  <w:szCs w:val="16"/>
                </w:rPr>
                <m:t xml:space="preserve"> </m:t>
              </m:r>
              <m:r>
                <m:rPr>
                  <m:sty m:val="bi"/>
                </m:rPr>
                <w:rPr>
                  <w:rFonts w:ascii="Cambria Math" w:hAnsi="Cambria Math"/>
                  <w:sz w:val="16"/>
                  <w:szCs w:val="16"/>
                </w:rPr>
                <m:t>de</m:t>
              </m:r>
              <m:r>
                <m:rPr>
                  <m:sty m:val="bi"/>
                </m:rPr>
                <w:rPr>
                  <w:rFonts w:ascii="Cambria Math" w:hAnsi="Cambria Math"/>
                  <w:sz w:val="16"/>
                  <w:szCs w:val="16"/>
                </w:rPr>
                <m:t xml:space="preserve"> </m:t>
              </m:r>
              <m:r>
                <m:rPr>
                  <m:sty m:val="bi"/>
                </m:rPr>
                <w:rPr>
                  <w:rFonts w:ascii="Cambria Math" w:hAnsi="Cambria Math"/>
                  <w:sz w:val="16"/>
                  <w:szCs w:val="16"/>
                </w:rPr>
                <m:t>categor</m:t>
              </m:r>
              <m:r>
                <m:rPr>
                  <m:sty m:val="bi"/>
                </m:rPr>
                <w:rPr>
                  <w:rFonts w:ascii="Cambria Math" w:hAnsi="Cambria Math"/>
                  <w:sz w:val="16"/>
                  <w:szCs w:val="16"/>
                </w:rPr>
                <m:t>í</m:t>
              </m:r>
              <m:r>
                <m:rPr>
                  <m:sty m:val="bi"/>
                </m:rPr>
                <w:rPr>
                  <w:rFonts w:ascii="Cambria Math" w:hAnsi="Cambria Math"/>
                  <w:sz w:val="16"/>
                  <w:szCs w:val="16"/>
                </w:rPr>
                <m:t>a</m:t>
              </m:r>
              <m:r>
                <m:rPr>
                  <m:sty m:val="bi"/>
                </m:rPr>
                <w:rPr>
                  <w:rFonts w:ascii="Cambria Math" w:hAnsi="Cambria Math"/>
                  <w:sz w:val="16"/>
                  <w:szCs w:val="16"/>
                </w:rPr>
                <m:t xml:space="preserve">) </m:t>
              </m:r>
            </m:num>
            <m:den>
              <m:r>
                <m:rPr>
                  <m:sty m:val="bi"/>
                </m:rPr>
                <w:rPr>
                  <w:rFonts w:ascii="Cambria Math" w:hAnsi="Cambria Math"/>
                  <w:sz w:val="16"/>
                  <w:szCs w:val="16"/>
                </w:rPr>
                <m:t>Valor</m:t>
              </m:r>
              <m:r>
                <m:rPr>
                  <m:sty m:val="bi"/>
                </m:rPr>
                <w:rPr>
                  <w:rFonts w:ascii="Cambria Math" w:hAnsi="Cambria Math"/>
                  <w:sz w:val="16"/>
                  <w:szCs w:val="16"/>
                </w:rPr>
                <m:t xml:space="preserve"> </m:t>
              </m:r>
              <m:r>
                <m:rPr>
                  <m:sty m:val="bi"/>
                </m:rPr>
                <w:rPr>
                  <w:rFonts w:ascii="Cambria Math" w:hAnsi="Cambria Math"/>
                  <w:sz w:val="16"/>
                  <w:szCs w:val="16"/>
                </w:rPr>
                <m:t>total</m:t>
              </m:r>
              <m:r>
                <m:rPr>
                  <m:sty m:val="bi"/>
                </m:rPr>
                <w:rPr>
                  <w:rFonts w:ascii="Cambria Math" w:hAnsi="Cambria Math"/>
                  <w:sz w:val="16"/>
                  <w:szCs w:val="16"/>
                </w:rPr>
                <m:t xml:space="preserve"> </m:t>
              </m:r>
              <m:r>
                <m:rPr>
                  <m:sty m:val="bi"/>
                </m:rPr>
                <w:rPr>
                  <w:rFonts w:ascii="Cambria Math" w:hAnsi="Cambria Math"/>
                  <w:sz w:val="16"/>
                  <w:szCs w:val="16"/>
                </w:rPr>
                <m:t>de</m:t>
              </m:r>
              <m:r>
                <m:rPr>
                  <m:sty m:val="bi"/>
                </m:rPr>
                <w:rPr>
                  <w:rFonts w:ascii="Cambria Math" w:hAnsi="Cambria Math"/>
                  <w:sz w:val="16"/>
                  <w:szCs w:val="16"/>
                </w:rPr>
                <m:t xml:space="preserve"> </m:t>
              </m:r>
              <m:r>
                <m:rPr>
                  <m:sty m:val="bi"/>
                </m:rPr>
                <w:rPr>
                  <w:rFonts w:ascii="Cambria Math" w:hAnsi="Cambria Math"/>
                  <w:sz w:val="16"/>
                  <w:szCs w:val="16"/>
                </w:rPr>
                <m:t>referencia</m:t>
              </m:r>
              <m:r>
                <m:rPr>
                  <m:sty m:val="bi"/>
                </m:rPr>
                <w:rPr>
                  <w:rFonts w:ascii="Cambria Math" w:hAnsi="Cambria Math"/>
                  <w:sz w:val="16"/>
                  <w:szCs w:val="16"/>
                </w:rPr>
                <m:t xml:space="preserve"> </m:t>
              </m:r>
            </m:den>
          </m:f>
          <m:r>
            <m:rPr>
              <m:sty m:val="bi"/>
            </m:rPr>
            <w:rPr>
              <w:rFonts w:ascii="Cambria Math" w:hAnsi="Cambria Math"/>
              <w:sz w:val="16"/>
              <w:szCs w:val="16"/>
            </w:rPr>
            <m:t>*</m:t>
          </m:r>
          <m:r>
            <m:rPr>
              <m:sty m:val="bi"/>
            </m:rPr>
            <w:rPr>
              <w:rFonts w:ascii="Cambria Math" w:hAnsi="Cambria Math"/>
              <w:sz w:val="16"/>
              <w:szCs w:val="16"/>
            </w:rPr>
            <m:t>100</m:t>
          </m:r>
        </m:oMath>
      </m:oMathPara>
    </w:p>
    <w:p w14:paraId="3CAD0B36" w14:textId="77777777" w:rsidR="00B13E3F" w:rsidRPr="00393997" w:rsidRDefault="00B13E3F" w:rsidP="00B13E3F">
      <w:pPr>
        <w:tabs>
          <w:tab w:val="left" w:pos="567"/>
        </w:tabs>
        <w:contextualSpacing/>
        <w:jc w:val="both"/>
        <w:rPr>
          <w:rFonts w:ascii="Arial" w:hAnsi="Arial" w:cs="Arial"/>
          <w:b/>
          <w:sz w:val="16"/>
          <w:szCs w:val="16"/>
        </w:rPr>
      </w:pPr>
    </w:p>
    <w:p w14:paraId="16EED60A" w14:textId="77777777" w:rsidR="00C11B31" w:rsidRDefault="00C11B31" w:rsidP="00B13E3F">
      <w:pPr>
        <w:tabs>
          <w:tab w:val="left" w:pos="567"/>
        </w:tabs>
        <w:contextualSpacing/>
        <w:jc w:val="both"/>
        <w:rPr>
          <w:rFonts w:ascii="Arial" w:hAnsi="Arial" w:cs="Arial"/>
          <w:b/>
          <w:sz w:val="16"/>
          <w:szCs w:val="16"/>
        </w:rPr>
      </w:pPr>
    </w:p>
    <w:p w14:paraId="5593EA3C" w14:textId="56766433"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El índice se presenta como porcentaje y su medición puede ser actualizada acorde con disponibilidad mensual de la fuente. Se sugiere realizar el cálculo del indicador de manera trimestral.</w:t>
      </w:r>
    </w:p>
    <w:p w14:paraId="268DF4E9" w14:textId="77777777" w:rsidR="00B13E3F" w:rsidRPr="00B13E3F" w:rsidRDefault="00B13E3F" w:rsidP="00B13E3F">
      <w:pPr>
        <w:tabs>
          <w:tab w:val="left" w:pos="567"/>
        </w:tabs>
        <w:contextualSpacing/>
        <w:jc w:val="both"/>
        <w:rPr>
          <w:rFonts w:ascii="Arial" w:hAnsi="Arial" w:cs="Arial"/>
          <w:b/>
          <w:sz w:val="16"/>
          <w:szCs w:val="16"/>
        </w:rPr>
      </w:pPr>
    </w:p>
    <w:p w14:paraId="2EF964D0" w14:textId="59A6A4B9" w:rsidR="00B13E3F" w:rsidRPr="00B13E3F" w:rsidRDefault="00757877" w:rsidP="00B13E3F">
      <w:pPr>
        <w:tabs>
          <w:tab w:val="left" w:pos="567"/>
        </w:tabs>
        <w:contextualSpacing/>
        <w:jc w:val="both"/>
        <w:rPr>
          <w:rFonts w:ascii="Arial" w:hAnsi="Arial" w:cs="Arial"/>
          <w:b/>
          <w:sz w:val="16"/>
          <w:szCs w:val="16"/>
        </w:rPr>
      </w:pPr>
      <w:r>
        <w:rPr>
          <w:rFonts w:ascii="Arial" w:hAnsi="Arial" w:cs="Arial"/>
          <w:b/>
          <w:sz w:val="16"/>
          <w:szCs w:val="16"/>
        </w:rPr>
        <w:t xml:space="preserve">2.2.4. </w:t>
      </w:r>
      <w:r w:rsidR="00B13E3F" w:rsidRPr="00B13E3F">
        <w:rPr>
          <w:rFonts w:ascii="Arial" w:hAnsi="Arial" w:cs="Arial"/>
          <w:b/>
          <w:sz w:val="16"/>
          <w:szCs w:val="16"/>
        </w:rPr>
        <w:t xml:space="preserve">Variables: </w:t>
      </w:r>
    </w:p>
    <w:p w14:paraId="309D550F" w14:textId="77777777" w:rsidR="00B13E3F" w:rsidRPr="00B13E3F" w:rsidRDefault="00B13E3F" w:rsidP="00B13E3F">
      <w:pPr>
        <w:tabs>
          <w:tab w:val="left" w:pos="567"/>
        </w:tabs>
        <w:contextualSpacing/>
        <w:jc w:val="both"/>
        <w:rPr>
          <w:rFonts w:ascii="Arial" w:hAnsi="Arial" w:cs="Arial"/>
          <w:b/>
          <w:sz w:val="16"/>
          <w:szCs w:val="16"/>
        </w:rPr>
      </w:pPr>
    </w:p>
    <w:p w14:paraId="1ED4DD98" w14:textId="03860D79" w:rsidR="00B13E3F" w:rsidRPr="00B13E3F" w:rsidRDefault="00C44BD4"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FIA en zonas de alta vulnerabilidad climática</m:t>
        </m:r>
      </m:oMath>
      <w:r w:rsidR="00B13E3F" w:rsidRPr="00C44BD4">
        <w:rPr>
          <w:rFonts w:ascii="Arial" w:hAnsi="Arial" w:cs="Arial"/>
          <w:b/>
          <w:bCs/>
          <w:sz w:val="16"/>
          <w:szCs w:val="16"/>
        </w:rPr>
        <w:t>:</w:t>
      </w:r>
      <w:r w:rsidR="00B13E3F" w:rsidRPr="00B13E3F">
        <w:rPr>
          <w:rFonts w:ascii="Arial" w:hAnsi="Arial" w:cs="Arial"/>
          <w:b/>
          <w:sz w:val="16"/>
          <w:szCs w:val="16"/>
        </w:rPr>
        <w:t xml:space="preserve"> </w:t>
      </w:r>
      <w:r>
        <w:rPr>
          <w:rFonts w:ascii="Arial" w:hAnsi="Arial" w:cs="Arial"/>
          <w:b/>
          <w:sz w:val="16"/>
          <w:szCs w:val="16"/>
        </w:rPr>
        <w:t>es la s</w:t>
      </w:r>
      <w:r w:rsidR="00B13E3F" w:rsidRPr="00B13E3F">
        <w:rPr>
          <w:rFonts w:ascii="Arial" w:hAnsi="Arial" w:cs="Arial"/>
          <w:b/>
          <w:sz w:val="16"/>
          <w:szCs w:val="16"/>
        </w:rPr>
        <w:t xml:space="preserve">umatoria de FIA en sectores ubicados en lugares de alto riesgo físico. Cada categoría se debe multiplicar por un ponderador y el resultado se expresa como el valor agregado correspondiente a las categorías consideradas en el </w:t>
      </w:r>
      <w:r w:rsidR="00900916">
        <w:rPr>
          <w:rFonts w:ascii="Arial" w:hAnsi="Arial" w:cs="Arial"/>
          <w:b/>
          <w:sz w:val="16"/>
          <w:szCs w:val="16"/>
        </w:rPr>
        <w:t>i</w:t>
      </w:r>
      <w:r w:rsidR="00B13E3F" w:rsidRPr="00B13E3F">
        <w:rPr>
          <w:rFonts w:ascii="Arial" w:hAnsi="Arial" w:cs="Arial"/>
          <w:b/>
          <w:sz w:val="16"/>
          <w:szCs w:val="16"/>
        </w:rPr>
        <w:t xml:space="preserve">ndicador </w:t>
      </w:r>
      <w:r w:rsidR="00900916">
        <w:rPr>
          <w:rFonts w:ascii="Arial" w:hAnsi="Arial" w:cs="Arial"/>
          <w:b/>
          <w:sz w:val="16"/>
          <w:szCs w:val="16"/>
        </w:rPr>
        <w:t>del numeral 2.1.</w:t>
      </w:r>
      <w:r w:rsidR="00B13E3F" w:rsidRPr="00B13E3F">
        <w:rPr>
          <w:rFonts w:ascii="Arial" w:hAnsi="Arial" w:cs="Arial"/>
          <w:b/>
          <w:sz w:val="16"/>
          <w:szCs w:val="16"/>
        </w:rPr>
        <w:t xml:space="preserve"> del presente anexo, según su aplicabilidad. </w:t>
      </w:r>
    </w:p>
    <w:p w14:paraId="6745CC16" w14:textId="77777777" w:rsidR="00B13E3F" w:rsidRPr="00B13E3F" w:rsidRDefault="00B13E3F" w:rsidP="00B13E3F">
      <w:pPr>
        <w:tabs>
          <w:tab w:val="left" w:pos="567"/>
        </w:tabs>
        <w:contextualSpacing/>
        <w:jc w:val="both"/>
        <w:rPr>
          <w:rFonts w:ascii="Arial" w:hAnsi="Arial" w:cs="Arial"/>
          <w:b/>
          <w:sz w:val="16"/>
          <w:szCs w:val="16"/>
        </w:rPr>
      </w:pPr>
    </w:p>
    <w:p w14:paraId="7BB346D9" w14:textId="2F48B196" w:rsidR="00B13E3F" w:rsidRPr="00B13E3F" w:rsidRDefault="00943539"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Ponderador de categoría</m:t>
        </m:r>
      </m:oMath>
      <w:r w:rsidR="00B13E3F" w:rsidRPr="00B13E3F">
        <w:rPr>
          <w:rFonts w:ascii="Arial" w:hAnsi="Arial" w:cs="Arial"/>
          <w:b/>
          <w:sz w:val="16"/>
          <w:szCs w:val="16"/>
        </w:rPr>
        <w:t xml:space="preserve">: </w:t>
      </w:r>
      <w:r w:rsidR="00773255">
        <w:rPr>
          <w:rFonts w:ascii="Arial" w:hAnsi="Arial" w:cs="Arial"/>
          <w:b/>
          <w:sz w:val="16"/>
          <w:szCs w:val="16"/>
        </w:rPr>
        <w:t>s</w:t>
      </w:r>
      <w:r w:rsidR="00B13E3F" w:rsidRPr="00B13E3F">
        <w:rPr>
          <w:rFonts w:ascii="Arial" w:hAnsi="Arial" w:cs="Arial"/>
          <w:b/>
          <w:sz w:val="16"/>
          <w:szCs w:val="16"/>
        </w:rPr>
        <w:t>e sugiere usar un ponderador del 25 % por categoría</w:t>
      </w:r>
      <w:r w:rsidR="000C2A3E">
        <w:rPr>
          <w:rFonts w:ascii="Arial" w:hAnsi="Arial" w:cs="Arial"/>
          <w:b/>
          <w:sz w:val="16"/>
          <w:szCs w:val="16"/>
        </w:rPr>
        <w:t xml:space="preserve"> y </w:t>
      </w:r>
      <w:r w:rsidR="00B13E3F" w:rsidRPr="00B13E3F">
        <w:rPr>
          <w:rFonts w:ascii="Arial" w:hAnsi="Arial" w:cs="Arial"/>
          <w:b/>
          <w:sz w:val="16"/>
          <w:szCs w:val="16"/>
        </w:rPr>
        <w:t>ajustar el ponderador según la pertinencia para cada entidad vigilada, de acuerdo con las características de su portafolio o cartera.</w:t>
      </w:r>
    </w:p>
    <w:p w14:paraId="27B1F163" w14:textId="77777777" w:rsidR="00B13E3F" w:rsidRPr="00B13E3F" w:rsidRDefault="00B13E3F" w:rsidP="00B13E3F">
      <w:pPr>
        <w:tabs>
          <w:tab w:val="left" w:pos="567"/>
        </w:tabs>
        <w:contextualSpacing/>
        <w:jc w:val="both"/>
        <w:rPr>
          <w:rFonts w:ascii="Arial" w:hAnsi="Arial" w:cs="Arial"/>
          <w:b/>
          <w:sz w:val="16"/>
          <w:szCs w:val="16"/>
        </w:rPr>
      </w:pPr>
    </w:p>
    <w:p w14:paraId="708634DC" w14:textId="6DB88705" w:rsidR="00B13E3F" w:rsidRPr="00B13E3F" w:rsidRDefault="003B3E21"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Valor total de referencia</m:t>
        </m:r>
      </m:oMath>
      <w:r w:rsidR="00B13E3F" w:rsidRPr="00B13E3F">
        <w:rPr>
          <w:rFonts w:ascii="Arial" w:hAnsi="Arial" w:cs="Arial"/>
          <w:b/>
          <w:sz w:val="16"/>
          <w:szCs w:val="16"/>
        </w:rPr>
        <w:t xml:space="preserve">: </w:t>
      </w:r>
      <w:r>
        <w:rPr>
          <w:rFonts w:ascii="Arial" w:hAnsi="Arial" w:cs="Arial"/>
          <w:b/>
          <w:sz w:val="16"/>
          <w:szCs w:val="16"/>
        </w:rPr>
        <w:t>es la s</w:t>
      </w:r>
      <w:r w:rsidR="00B13E3F" w:rsidRPr="00B13E3F">
        <w:rPr>
          <w:rFonts w:ascii="Arial" w:hAnsi="Arial" w:cs="Arial"/>
          <w:b/>
          <w:sz w:val="16"/>
          <w:szCs w:val="16"/>
        </w:rPr>
        <w:t>umatoria de todas las exposiciones materiales de la entidad.</w:t>
      </w:r>
    </w:p>
    <w:p w14:paraId="67A6CA37" w14:textId="77777777" w:rsidR="00B13E3F" w:rsidRPr="00B13E3F" w:rsidRDefault="00B13E3F" w:rsidP="00B13E3F">
      <w:pPr>
        <w:tabs>
          <w:tab w:val="left" w:pos="567"/>
        </w:tabs>
        <w:contextualSpacing/>
        <w:jc w:val="both"/>
        <w:rPr>
          <w:rFonts w:ascii="Arial" w:hAnsi="Arial" w:cs="Arial"/>
          <w:b/>
          <w:sz w:val="16"/>
          <w:szCs w:val="16"/>
        </w:rPr>
      </w:pPr>
    </w:p>
    <w:p w14:paraId="04A88836" w14:textId="50DBDC50" w:rsidR="00B13E3F" w:rsidRPr="00B13E3F" w:rsidRDefault="008E084C" w:rsidP="00B13E3F">
      <w:pPr>
        <w:tabs>
          <w:tab w:val="left" w:pos="567"/>
        </w:tabs>
        <w:contextualSpacing/>
        <w:jc w:val="both"/>
        <w:rPr>
          <w:rFonts w:ascii="Arial" w:hAnsi="Arial" w:cs="Arial"/>
          <w:b/>
          <w:sz w:val="16"/>
          <w:szCs w:val="16"/>
        </w:rPr>
      </w:pPr>
      <w:r>
        <w:rPr>
          <w:rFonts w:ascii="Arial" w:hAnsi="Arial" w:cs="Arial"/>
          <w:b/>
          <w:sz w:val="16"/>
          <w:szCs w:val="16"/>
        </w:rPr>
        <w:t xml:space="preserve">2.2.5. </w:t>
      </w:r>
      <w:r w:rsidR="00B13E3F" w:rsidRPr="00B13E3F">
        <w:rPr>
          <w:rFonts w:ascii="Arial" w:hAnsi="Arial" w:cs="Arial"/>
          <w:b/>
          <w:sz w:val="16"/>
          <w:szCs w:val="16"/>
        </w:rPr>
        <w:t xml:space="preserve">Interpretación del indicador agregado: </w:t>
      </w:r>
    </w:p>
    <w:p w14:paraId="507E2621" w14:textId="77777777" w:rsidR="00B13E3F" w:rsidRPr="00B13E3F" w:rsidRDefault="00B13E3F" w:rsidP="00B13E3F">
      <w:pPr>
        <w:tabs>
          <w:tab w:val="left" w:pos="567"/>
        </w:tabs>
        <w:contextualSpacing/>
        <w:jc w:val="both"/>
        <w:rPr>
          <w:rFonts w:ascii="Arial" w:hAnsi="Arial" w:cs="Arial"/>
          <w:b/>
          <w:sz w:val="16"/>
          <w:szCs w:val="16"/>
        </w:rPr>
      </w:pPr>
    </w:p>
    <w:p w14:paraId="1289A7C4" w14:textId="1D52AFFE"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0% – 20% (Bajo): Baja exposición agregada. </w:t>
      </w:r>
    </w:p>
    <w:p w14:paraId="2DC88A30" w14:textId="77777777" w:rsidR="008E084C" w:rsidRDefault="008E084C" w:rsidP="00B13E3F">
      <w:pPr>
        <w:tabs>
          <w:tab w:val="left" w:pos="567"/>
        </w:tabs>
        <w:contextualSpacing/>
        <w:jc w:val="both"/>
        <w:rPr>
          <w:rFonts w:ascii="Arial" w:hAnsi="Arial" w:cs="Arial"/>
          <w:b/>
          <w:sz w:val="16"/>
          <w:szCs w:val="16"/>
        </w:rPr>
      </w:pPr>
    </w:p>
    <w:p w14:paraId="45F5D3A2" w14:textId="588DB2A4"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21% – 50% (Moderado): Exposición combinada significativa. </w:t>
      </w:r>
    </w:p>
    <w:p w14:paraId="793B2E94" w14:textId="77777777" w:rsidR="008E084C" w:rsidRDefault="008E084C" w:rsidP="00B13E3F">
      <w:pPr>
        <w:tabs>
          <w:tab w:val="left" w:pos="567"/>
        </w:tabs>
        <w:contextualSpacing/>
        <w:jc w:val="both"/>
        <w:rPr>
          <w:rFonts w:ascii="Arial" w:hAnsi="Arial" w:cs="Arial"/>
          <w:b/>
          <w:sz w:val="16"/>
          <w:szCs w:val="16"/>
        </w:rPr>
      </w:pPr>
    </w:p>
    <w:p w14:paraId="02C4C7FF" w14:textId="4F0B29D9"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51% – 80% (Alto): Exposición total elevada. </w:t>
      </w:r>
    </w:p>
    <w:p w14:paraId="5DCE9096" w14:textId="77777777" w:rsidR="008E084C" w:rsidRDefault="008E084C" w:rsidP="00B13E3F">
      <w:pPr>
        <w:tabs>
          <w:tab w:val="left" w:pos="567"/>
        </w:tabs>
        <w:contextualSpacing/>
        <w:jc w:val="both"/>
        <w:rPr>
          <w:rFonts w:ascii="Arial" w:hAnsi="Arial" w:cs="Arial"/>
          <w:b/>
          <w:sz w:val="16"/>
          <w:szCs w:val="16"/>
        </w:rPr>
      </w:pPr>
    </w:p>
    <w:p w14:paraId="52392274" w14:textId="7A5155BA"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81% – 100% (Muy alto): Riesgo sistémico crítico. </w:t>
      </w:r>
    </w:p>
    <w:p w14:paraId="74EBAB69" w14:textId="77777777" w:rsidR="00B13E3F" w:rsidRPr="00B13E3F" w:rsidRDefault="00B13E3F" w:rsidP="00B13E3F">
      <w:pPr>
        <w:tabs>
          <w:tab w:val="left" w:pos="567"/>
        </w:tabs>
        <w:contextualSpacing/>
        <w:jc w:val="both"/>
        <w:rPr>
          <w:rFonts w:ascii="Arial" w:hAnsi="Arial" w:cs="Arial"/>
          <w:b/>
          <w:sz w:val="16"/>
          <w:szCs w:val="16"/>
        </w:rPr>
      </w:pPr>
    </w:p>
    <w:p w14:paraId="101BC1E0" w14:textId="00FF7F38" w:rsidR="00B13E3F" w:rsidRPr="00B13E3F" w:rsidRDefault="00942A59" w:rsidP="00B13E3F">
      <w:pPr>
        <w:tabs>
          <w:tab w:val="left" w:pos="567"/>
        </w:tabs>
        <w:contextualSpacing/>
        <w:jc w:val="both"/>
        <w:rPr>
          <w:rFonts w:ascii="Arial" w:hAnsi="Arial" w:cs="Arial"/>
          <w:b/>
          <w:sz w:val="16"/>
          <w:szCs w:val="16"/>
        </w:rPr>
      </w:pPr>
      <w:r>
        <w:rPr>
          <w:rFonts w:ascii="Arial" w:hAnsi="Arial" w:cs="Arial"/>
          <w:b/>
          <w:sz w:val="16"/>
          <w:szCs w:val="16"/>
        </w:rPr>
        <w:t xml:space="preserve">2.2.6. </w:t>
      </w:r>
      <w:r w:rsidR="00B13E3F" w:rsidRPr="00B13E3F">
        <w:rPr>
          <w:rFonts w:ascii="Arial" w:hAnsi="Arial" w:cs="Arial"/>
          <w:b/>
          <w:sz w:val="16"/>
          <w:szCs w:val="16"/>
        </w:rPr>
        <w:t xml:space="preserve">Fuente: IDEAM Boletín - Informe de predicción climática. </w:t>
      </w:r>
    </w:p>
    <w:p w14:paraId="13E9630D" w14:textId="77777777" w:rsidR="00B13E3F" w:rsidRPr="00B13E3F" w:rsidRDefault="00B13E3F" w:rsidP="00B13E3F">
      <w:pPr>
        <w:tabs>
          <w:tab w:val="left" w:pos="567"/>
        </w:tabs>
        <w:contextualSpacing/>
        <w:jc w:val="both"/>
        <w:rPr>
          <w:rFonts w:ascii="Arial" w:hAnsi="Arial" w:cs="Arial"/>
          <w:b/>
          <w:sz w:val="16"/>
          <w:szCs w:val="16"/>
        </w:rPr>
      </w:pPr>
    </w:p>
    <w:p w14:paraId="7B89B7CB" w14:textId="7D9926FC" w:rsidR="00B13E3F" w:rsidRPr="00B13E3F" w:rsidRDefault="00942A59" w:rsidP="00B13E3F">
      <w:pPr>
        <w:tabs>
          <w:tab w:val="left" w:pos="567"/>
        </w:tabs>
        <w:contextualSpacing/>
        <w:jc w:val="both"/>
        <w:rPr>
          <w:rFonts w:ascii="Arial" w:hAnsi="Arial" w:cs="Arial"/>
          <w:b/>
          <w:sz w:val="16"/>
          <w:szCs w:val="16"/>
        </w:rPr>
      </w:pPr>
      <w:r>
        <w:rPr>
          <w:rFonts w:ascii="Arial" w:hAnsi="Arial" w:cs="Arial"/>
          <w:b/>
          <w:sz w:val="16"/>
          <w:szCs w:val="16"/>
        </w:rPr>
        <w:t xml:space="preserve">2.2.7. </w:t>
      </w:r>
      <w:r w:rsidR="00B13E3F" w:rsidRPr="00B13E3F">
        <w:rPr>
          <w:rFonts w:ascii="Arial" w:hAnsi="Arial" w:cs="Arial"/>
          <w:b/>
          <w:sz w:val="16"/>
          <w:szCs w:val="16"/>
        </w:rPr>
        <w:t>Cobertura: Departamental.</w:t>
      </w:r>
    </w:p>
    <w:p w14:paraId="4A8C3D86" w14:textId="77777777" w:rsidR="00B13E3F" w:rsidRPr="00B13E3F" w:rsidRDefault="00B13E3F" w:rsidP="00B13E3F">
      <w:pPr>
        <w:tabs>
          <w:tab w:val="left" w:pos="567"/>
        </w:tabs>
        <w:contextualSpacing/>
        <w:jc w:val="both"/>
        <w:rPr>
          <w:rFonts w:ascii="Arial" w:hAnsi="Arial" w:cs="Arial"/>
          <w:b/>
          <w:sz w:val="16"/>
          <w:szCs w:val="16"/>
        </w:rPr>
      </w:pPr>
    </w:p>
    <w:p w14:paraId="714AEFEB" w14:textId="77777777" w:rsidR="00D40A9B" w:rsidRDefault="00D40A9B" w:rsidP="00B13E3F">
      <w:pPr>
        <w:tabs>
          <w:tab w:val="left" w:pos="567"/>
        </w:tabs>
        <w:contextualSpacing/>
        <w:jc w:val="both"/>
        <w:rPr>
          <w:rFonts w:ascii="Arial" w:hAnsi="Arial" w:cs="Arial"/>
          <w:b/>
          <w:sz w:val="16"/>
          <w:szCs w:val="16"/>
        </w:rPr>
      </w:pPr>
    </w:p>
    <w:p w14:paraId="01211C18" w14:textId="3AEEAC0B" w:rsidR="00B13E3F" w:rsidRPr="00B13E3F" w:rsidRDefault="00942A59" w:rsidP="00B13E3F">
      <w:pPr>
        <w:tabs>
          <w:tab w:val="left" w:pos="567"/>
        </w:tabs>
        <w:contextualSpacing/>
        <w:jc w:val="both"/>
        <w:rPr>
          <w:rFonts w:ascii="Arial" w:hAnsi="Arial" w:cs="Arial"/>
          <w:b/>
          <w:sz w:val="16"/>
          <w:szCs w:val="16"/>
        </w:rPr>
      </w:pPr>
      <w:r>
        <w:rPr>
          <w:rFonts w:ascii="Arial" w:hAnsi="Arial" w:cs="Arial"/>
          <w:b/>
          <w:sz w:val="16"/>
          <w:szCs w:val="16"/>
        </w:rPr>
        <w:t xml:space="preserve">2.3. </w:t>
      </w:r>
      <w:r w:rsidR="00B13E3F" w:rsidRPr="00B13E3F">
        <w:rPr>
          <w:rFonts w:ascii="Arial" w:hAnsi="Arial" w:cs="Arial"/>
          <w:b/>
          <w:sz w:val="16"/>
          <w:szCs w:val="16"/>
        </w:rPr>
        <w:t>Índice de Riesgo de Transición Energética (IRTE)</w:t>
      </w:r>
    </w:p>
    <w:p w14:paraId="6E3F7319" w14:textId="77777777" w:rsidR="00B13E3F" w:rsidRPr="00B13E3F" w:rsidRDefault="00B13E3F" w:rsidP="00B13E3F">
      <w:pPr>
        <w:tabs>
          <w:tab w:val="left" w:pos="567"/>
        </w:tabs>
        <w:contextualSpacing/>
        <w:jc w:val="both"/>
        <w:rPr>
          <w:rFonts w:ascii="Arial" w:hAnsi="Arial" w:cs="Arial"/>
          <w:b/>
          <w:sz w:val="16"/>
          <w:szCs w:val="16"/>
        </w:rPr>
      </w:pPr>
    </w:p>
    <w:p w14:paraId="132F70A2" w14:textId="49CFF05E" w:rsidR="00B13E3F" w:rsidRPr="00B13E3F" w:rsidRDefault="009D761C" w:rsidP="00B13E3F">
      <w:pPr>
        <w:tabs>
          <w:tab w:val="left" w:pos="567"/>
        </w:tabs>
        <w:contextualSpacing/>
        <w:jc w:val="both"/>
        <w:rPr>
          <w:rFonts w:ascii="Arial" w:hAnsi="Arial" w:cs="Arial"/>
          <w:b/>
          <w:sz w:val="16"/>
          <w:szCs w:val="16"/>
        </w:rPr>
      </w:pPr>
      <w:r>
        <w:rPr>
          <w:rFonts w:ascii="Arial" w:hAnsi="Arial" w:cs="Arial"/>
          <w:b/>
          <w:sz w:val="16"/>
          <w:szCs w:val="16"/>
        </w:rPr>
        <w:t xml:space="preserve">2.3.1. </w:t>
      </w:r>
      <w:r w:rsidR="00B13E3F" w:rsidRPr="00B13E3F">
        <w:rPr>
          <w:rFonts w:ascii="Arial" w:hAnsi="Arial" w:cs="Arial"/>
          <w:b/>
          <w:sz w:val="16"/>
          <w:szCs w:val="16"/>
        </w:rPr>
        <w:t xml:space="preserve">Tipo de indicador: </w:t>
      </w:r>
      <w:r w:rsidR="00E86BDF">
        <w:rPr>
          <w:rFonts w:ascii="Arial" w:hAnsi="Arial" w:cs="Arial"/>
          <w:b/>
          <w:sz w:val="16"/>
          <w:szCs w:val="16"/>
        </w:rPr>
        <w:t>a</w:t>
      </w:r>
      <w:r w:rsidR="00B13E3F" w:rsidRPr="00B13E3F">
        <w:rPr>
          <w:rFonts w:ascii="Arial" w:hAnsi="Arial" w:cs="Arial"/>
          <w:b/>
          <w:sz w:val="16"/>
          <w:szCs w:val="16"/>
        </w:rPr>
        <w:t>mbiental.</w:t>
      </w:r>
    </w:p>
    <w:p w14:paraId="1E00C11C" w14:textId="77777777" w:rsidR="00B13E3F" w:rsidRPr="00B13E3F" w:rsidRDefault="00B13E3F" w:rsidP="00B13E3F">
      <w:pPr>
        <w:tabs>
          <w:tab w:val="left" w:pos="567"/>
        </w:tabs>
        <w:contextualSpacing/>
        <w:jc w:val="both"/>
        <w:rPr>
          <w:rFonts w:ascii="Arial" w:hAnsi="Arial" w:cs="Arial"/>
          <w:b/>
          <w:sz w:val="16"/>
          <w:szCs w:val="16"/>
        </w:rPr>
      </w:pPr>
    </w:p>
    <w:p w14:paraId="1DFD02E0" w14:textId="3253A898" w:rsidR="00B13E3F" w:rsidRPr="00B13E3F" w:rsidRDefault="009D761C" w:rsidP="00B13E3F">
      <w:pPr>
        <w:tabs>
          <w:tab w:val="left" w:pos="567"/>
        </w:tabs>
        <w:contextualSpacing/>
        <w:jc w:val="both"/>
        <w:rPr>
          <w:rFonts w:ascii="Arial" w:hAnsi="Arial" w:cs="Arial"/>
          <w:b/>
          <w:sz w:val="16"/>
          <w:szCs w:val="16"/>
        </w:rPr>
      </w:pPr>
      <w:r>
        <w:rPr>
          <w:rFonts w:ascii="Arial" w:hAnsi="Arial" w:cs="Arial"/>
          <w:b/>
          <w:sz w:val="16"/>
          <w:szCs w:val="16"/>
        </w:rPr>
        <w:t xml:space="preserve">2.3.2. </w:t>
      </w:r>
      <w:r w:rsidR="00B13E3F" w:rsidRPr="00B13E3F">
        <w:rPr>
          <w:rFonts w:ascii="Arial" w:hAnsi="Arial" w:cs="Arial"/>
          <w:b/>
          <w:sz w:val="16"/>
          <w:szCs w:val="16"/>
        </w:rPr>
        <w:t xml:space="preserve">Propósito: </w:t>
      </w:r>
      <w:r w:rsidR="003A5860">
        <w:rPr>
          <w:rFonts w:ascii="Arial" w:hAnsi="Arial" w:cs="Arial"/>
          <w:b/>
          <w:sz w:val="16"/>
          <w:szCs w:val="16"/>
        </w:rPr>
        <w:t>m</w:t>
      </w:r>
      <w:r w:rsidR="00B13E3F" w:rsidRPr="00B13E3F">
        <w:rPr>
          <w:rFonts w:ascii="Arial" w:hAnsi="Arial" w:cs="Arial"/>
          <w:b/>
          <w:sz w:val="16"/>
          <w:szCs w:val="16"/>
        </w:rPr>
        <w:t xml:space="preserve">ide la concentración del portafolio de activos o cartera en actividades con alta intensidad de carbono, de modo que la entidad pueda analizar y mitigar el riesgo regulatorio, reputacional y de mercado vinculado a políticas de transición energética y descarbonización. </w:t>
      </w:r>
    </w:p>
    <w:p w14:paraId="0E640B98" w14:textId="77777777" w:rsidR="00B13E3F" w:rsidRPr="00B13E3F" w:rsidRDefault="00B13E3F" w:rsidP="00B13E3F">
      <w:pPr>
        <w:tabs>
          <w:tab w:val="left" w:pos="567"/>
        </w:tabs>
        <w:contextualSpacing/>
        <w:jc w:val="both"/>
        <w:rPr>
          <w:rFonts w:ascii="Arial" w:hAnsi="Arial" w:cs="Arial"/>
          <w:b/>
          <w:sz w:val="16"/>
          <w:szCs w:val="16"/>
        </w:rPr>
      </w:pPr>
    </w:p>
    <w:p w14:paraId="2F1D6CE2" w14:textId="1FA57731"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Este indicador cuantifica la proporción de financiamiento expuesto a sectores dependientes de combustibles fósiles, permitiendo evaluar el grado de alineación de la cartera con trayectorias de emisiones compatibles con objetivos de neutralidad de carbono. </w:t>
      </w:r>
    </w:p>
    <w:p w14:paraId="16E6E974" w14:textId="77777777" w:rsidR="00B13E3F" w:rsidRDefault="00B13E3F" w:rsidP="00B13E3F">
      <w:pPr>
        <w:tabs>
          <w:tab w:val="left" w:pos="567"/>
        </w:tabs>
        <w:contextualSpacing/>
        <w:jc w:val="both"/>
        <w:rPr>
          <w:rFonts w:ascii="Arial" w:hAnsi="Arial" w:cs="Arial"/>
          <w:b/>
          <w:sz w:val="16"/>
          <w:szCs w:val="16"/>
        </w:rPr>
      </w:pPr>
    </w:p>
    <w:p w14:paraId="5F65B60F" w14:textId="4FEF3D9A" w:rsidR="005F463C" w:rsidRPr="00B13E3F" w:rsidRDefault="005F463C" w:rsidP="005F463C">
      <w:pPr>
        <w:tabs>
          <w:tab w:val="left" w:pos="567"/>
        </w:tabs>
        <w:contextualSpacing/>
        <w:jc w:val="both"/>
        <w:rPr>
          <w:rFonts w:ascii="Arial" w:hAnsi="Arial" w:cs="Arial"/>
          <w:b/>
          <w:sz w:val="16"/>
          <w:szCs w:val="16"/>
        </w:rPr>
      </w:pPr>
      <w:r>
        <w:rPr>
          <w:rFonts w:ascii="Arial" w:hAnsi="Arial" w:cs="Arial"/>
          <w:b/>
          <w:sz w:val="16"/>
          <w:szCs w:val="16"/>
        </w:rPr>
        <w:t>Este indicador puede ser utilizado por los e</w:t>
      </w:r>
      <w:r w:rsidRPr="00B13E3F">
        <w:rPr>
          <w:rFonts w:ascii="Arial" w:hAnsi="Arial" w:cs="Arial"/>
          <w:b/>
          <w:sz w:val="16"/>
          <w:szCs w:val="16"/>
        </w:rPr>
        <w:t xml:space="preserve">stablecimientos de </w:t>
      </w:r>
      <w:r w:rsidR="00BD1260">
        <w:rPr>
          <w:rFonts w:ascii="Arial" w:hAnsi="Arial" w:cs="Arial"/>
          <w:b/>
          <w:sz w:val="16"/>
          <w:szCs w:val="16"/>
        </w:rPr>
        <w:t>c</w:t>
      </w:r>
      <w:r w:rsidRPr="00B13E3F">
        <w:rPr>
          <w:rFonts w:ascii="Arial" w:hAnsi="Arial" w:cs="Arial"/>
          <w:b/>
          <w:sz w:val="16"/>
          <w:szCs w:val="16"/>
        </w:rPr>
        <w:t>rédito</w:t>
      </w:r>
      <w:r>
        <w:rPr>
          <w:rFonts w:ascii="Arial" w:hAnsi="Arial" w:cs="Arial"/>
          <w:b/>
          <w:sz w:val="16"/>
          <w:szCs w:val="16"/>
        </w:rPr>
        <w:t>, las entidades a</w:t>
      </w:r>
      <w:r w:rsidRPr="00B13E3F">
        <w:rPr>
          <w:rFonts w:ascii="Arial" w:hAnsi="Arial" w:cs="Arial"/>
          <w:b/>
          <w:sz w:val="16"/>
          <w:szCs w:val="16"/>
        </w:rPr>
        <w:t>seguradoras y</w:t>
      </w:r>
      <w:r>
        <w:rPr>
          <w:rFonts w:ascii="Arial" w:hAnsi="Arial" w:cs="Arial"/>
          <w:b/>
          <w:sz w:val="16"/>
          <w:szCs w:val="16"/>
        </w:rPr>
        <w:t xml:space="preserve"> las entidades que administran recursos de terceros. </w:t>
      </w:r>
    </w:p>
    <w:p w14:paraId="43318FC8" w14:textId="77777777" w:rsidR="005F463C" w:rsidRPr="00B13E3F" w:rsidRDefault="005F463C" w:rsidP="00B13E3F">
      <w:pPr>
        <w:tabs>
          <w:tab w:val="left" w:pos="567"/>
        </w:tabs>
        <w:contextualSpacing/>
        <w:jc w:val="both"/>
        <w:rPr>
          <w:rFonts w:ascii="Arial" w:hAnsi="Arial" w:cs="Arial"/>
          <w:b/>
          <w:sz w:val="16"/>
          <w:szCs w:val="16"/>
        </w:rPr>
      </w:pPr>
    </w:p>
    <w:p w14:paraId="3396C854" w14:textId="57B9E0EB" w:rsidR="00B13E3F" w:rsidRPr="00B13E3F" w:rsidRDefault="009D761C" w:rsidP="00B13E3F">
      <w:pPr>
        <w:tabs>
          <w:tab w:val="left" w:pos="567"/>
        </w:tabs>
        <w:contextualSpacing/>
        <w:jc w:val="both"/>
        <w:rPr>
          <w:rFonts w:ascii="Arial" w:hAnsi="Arial" w:cs="Arial"/>
          <w:b/>
          <w:sz w:val="16"/>
          <w:szCs w:val="16"/>
        </w:rPr>
      </w:pPr>
      <w:r>
        <w:rPr>
          <w:rFonts w:ascii="Arial" w:hAnsi="Arial" w:cs="Arial"/>
          <w:b/>
          <w:sz w:val="16"/>
          <w:szCs w:val="16"/>
        </w:rPr>
        <w:t xml:space="preserve">2.3.3. </w:t>
      </w:r>
      <w:r w:rsidR="00B13E3F" w:rsidRPr="00B13E3F">
        <w:rPr>
          <w:rFonts w:ascii="Arial" w:hAnsi="Arial" w:cs="Arial"/>
          <w:b/>
          <w:sz w:val="16"/>
          <w:szCs w:val="16"/>
        </w:rPr>
        <w:t xml:space="preserve">Fórmula:   </w:t>
      </w:r>
    </w:p>
    <w:p w14:paraId="3A901968" w14:textId="77777777" w:rsidR="00B13E3F" w:rsidRPr="00B13E3F" w:rsidRDefault="00B13E3F" w:rsidP="00B13E3F">
      <w:pPr>
        <w:tabs>
          <w:tab w:val="left" w:pos="567"/>
        </w:tabs>
        <w:contextualSpacing/>
        <w:jc w:val="both"/>
        <w:rPr>
          <w:rFonts w:ascii="Arial" w:hAnsi="Arial" w:cs="Arial"/>
          <w:b/>
          <w:sz w:val="16"/>
          <w:szCs w:val="16"/>
        </w:rPr>
      </w:pPr>
    </w:p>
    <w:p w14:paraId="036E28C2" w14:textId="182E27F2" w:rsidR="005E7962" w:rsidRPr="006B522A" w:rsidRDefault="006B522A" w:rsidP="005E7962">
      <w:pPr>
        <w:jc w:val="both"/>
        <w:rPr>
          <w:rFonts w:ascii="Verdana" w:eastAsia="Aptos" w:hAnsi="Verdana" w:cs="Aptos"/>
          <w:b/>
          <w:bCs/>
          <w:i/>
          <w:sz w:val="16"/>
          <w:szCs w:val="16"/>
        </w:rPr>
      </w:pPr>
      <m:oMathPara>
        <m:oMath>
          <m:r>
            <m:rPr>
              <m:sty m:val="bi"/>
            </m:rPr>
            <w:rPr>
              <w:rFonts w:ascii="Cambria Math" w:eastAsia="Aptos" w:hAnsi="Cambria Math" w:cs="Cambria Math"/>
              <w:sz w:val="16"/>
              <w:szCs w:val="16"/>
            </w:rPr>
            <m:t>IRTE=</m:t>
          </m:r>
          <m:f>
            <m:fPr>
              <m:ctrlPr>
                <w:rPr>
                  <w:rFonts w:ascii="Cambria Math" w:eastAsia="Aptos" w:hAnsi="Cambria Math" w:cs="Aptos"/>
                  <w:b/>
                  <w:bCs/>
                  <w:i/>
                  <w:sz w:val="16"/>
                  <w:szCs w:val="16"/>
                </w:rPr>
              </m:ctrlPr>
            </m:fPr>
            <m:num>
              <m:nary>
                <m:naryPr>
                  <m:chr m:val="∑"/>
                  <m:limLoc m:val="undOvr"/>
                  <m:subHide m:val="1"/>
                  <m:supHide m:val="1"/>
                  <m:ctrlPr>
                    <w:rPr>
                      <w:rFonts w:ascii="Cambria Math" w:eastAsia="Aptos" w:hAnsi="Cambria Math" w:cs="Cambria Math"/>
                      <w:b/>
                      <w:bCs/>
                      <w:i/>
                      <w:sz w:val="16"/>
                      <w:szCs w:val="16"/>
                    </w:rPr>
                  </m:ctrlPr>
                </m:naryPr>
                <m:sub/>
                <m:sup/>
                <m:e>
                  <m:r>
                    <m:rPr>
                      <m:sty m:val="bi"/>
                    </m:rPr>
                    <w:rPr>
                      <w:rFonts w:ascii="Cambria Math" w:eastAsia="Aptos" w:hAnsi="Cambria Math" w:cs="Cambria Math"/>
                      <w:sz w:val="16"/>
                      <w:szCs w:val="16"/>
                    </w:rPr>
                    <m:t>FIA en actividades intensas en carbono*Factor de riesgo de transición</m:t>
                  </m:r>
                </m:e>
              </m:nary>
            </m:num>
            <m:den>
              <m:r>
                <m:rPr>
                  <m:sty m:val="bi"/>
                </m:rPr>
                <w:rPr>
                  <w:rFonts w:ascii="Cambria Math" w:eastAsia="Aptos" w:hAnsi="Cambria Math" w:cs="Cambria Math"/>
                  <w:sz w:val="16"/>
                  <w:szCs w:val="16"/>
                </w:rPr>
                <m:t>Valor total de referencia</m:t>
              </m:r>
            </m:den>
          </m:f>
          <m:r>
            <m:rPr>
              <m:sty m:val="bi"/>
            </m:rPr>
            <w:rPr>
              <w:rFonts w:ascii="Cambria Math" w:eastAsia="Aptos" w:hAnsi="Cambria Math" w:cs="Aptos"/>
              <w:sz w:val="16"/>
              <w:szCs w:val="16"/>
            </w:rPr>
            <m:t>*100</m:t>
          </m:r>
        </m:oMath>
      </m:oMathPara>
    </w:p>
    <w:p w14:paraId="2DB1A5CB" w14:textId="77777777" w:rsidR="00B13E3F" w:rsidRPr="00B13E3F" w:rsidRDefault="00B13E3F" w:rsidP="00B13E3F">
      <w:pPr>
        <w:tabs>
          <w:tab w:val="left" w:pos="567"/>
        </w:tabs>
        <w:contextualSpacing/>
        <w:jc w:val="both"/>
        <w:rPr>
          <w:rFonts w:ascii="Arial" w:hAnsi="Arial" w:cs="Arial"/>
          <w:b/>
          <w:sz w:val="16"/>
          <w:szCs w:val="16"/>
        </w:rPr>
      </w:pPr>
    </w:p>
    <w:p w14:paraId="13323038" w14:textId="77777777"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El índice se presenta como porcentaje y su medición puede ser anual, o en caso coyuntural se podrá realizar a consideración de la entidad vigilada.</w:t>
      </w:r>
    </w:p>
    <w:p w14:paraId="07709529" w14:textId="77777777" w:rsidR="00B13E3F" w:rsidRPr="00B13E3F" w:rsidRDefault="00B13E3F" w:rsidP="00B13E3F">
      <w:pPr>
        <w:tabs>
          <w:tab w:val="left" w:pos="567"/>
        </w:tabs>
        <w:contextualSpacing/>
        <w:jc w:val="both"/>
        <w:rPr>
          <w:rFonts w:ascii="Arial" w:hAnsi="Arial" w:cs="Arial"/>
          <w:b/>
          <w:sz w:val="16"/>
          <w:szCs w:val="16"/>
        </w:rPr>
      </w:pPr>
    </w:p>
    <w:p w14:paraId="0516FDF2" w14:textId="5F8586E4" w:rsidR="00B13E3F" w:rsidRPr="00B13E3F" w:rsidRDefault="009D761C" w:rsidP="00B13E3F">
      <w:pPr>
        <w:tabs>
          <w:tab w:val="left" w:pos="567"/>
        </w:tabs>
        <w:contextualSpacing/>
        <w:jc w:val="both"/>
        <w:rPr>
          <w:rFonts w:ascii="Arial" w:hAnsi="Arial" w:cs="Arial"/>
          <w:b/>
          <w:sz w:val="16"/>
          <w:szCs w:val="16"/>
        </w:rPr>
      </w:pPr>
      <w:r>
        <w:rPr>
          <w:rFonts w:ascii="Arial" w:hAnsi="Arial" w:cs="Arial"/>
          <w:b/>
          <w:sz w:val="16"/>
          <w:szCs w:val="16"/>
        </w:rPr>
        <w:t xml:space="preserve">2.3.4. </w:t>
      </w:r>
      <w:r w:rsidR="00B13E3F" w:rsidRPr="00B13E3F">
        <w:rPr>
          <w:rFonts w:ascii="Arial" w:hAnsi="Arial" w:cs="Arial"/>
          <w:b/>
          <w:sz w:val="16"/>
          <w:szCs w:val="16"/>
        </w:rPr>
        <w:t>Variables:</w:t>
      </w:r>
    </w:p>
    <w:p w14:paraId="5E18DB4B" w14:textId="77777777" w:rsidR="00B13E3F" w:rsidRPr="00B13E3F" w:rsidRDefault="00B13E3F" w:rsidP="00B13E3F">
      <w:pPr>
        <w:tabs>
          <w:tab w:val="left" w:pos="567"/>
        </w:tabs>
        <w:contextualSpacing/>
        <w:jc w:val="both"/>
        <w:rPr>
          <w:rFonts w:ascii="Arial" w:hAnsi="Arial" w:cs="Arial"/>
          <w:b/>
          <w:sz w:val="16"/>
          <w:szCs w:val="16"/>
        </w:rPr>
      </w:pPr>
    </w:p>
    <w:p w14:paraId="7AA1B6CA" w14:textId="3F52A810" w:rsidR="00B13E3F" w:rsidRPr="00B13E3F" w:rsidRDefault="006B522A" w:rsidP="00B13E3F">
      <w:pPr>
        <w:tabs>
          <w:tab w:val="left" w:pos="567"/>
        </w:tabs>
        <w:contextualSpacing/>
        <w:jc w:val="both"/>
        <w:rPr>
          <w:rFonts w:ascii="Arial" w:hAnsi="Arial" w:cs="Arial"/>
          <w:b/>
          <w:sz w:val="16"/>
          <w:szCs w:val="16"/>
        </w:rPr>
      </w:pPr>
      <m:oMath>
        <m:r>
          <m:rPr>
            <m:sty m:val="bi"/>
          </m:rPr>
          <w:rPr>
            <w:rFonts w:ascii="Cambria Math" w:eastAsia="Aptos" w:hAnsi="Cambria Math" w:cs="Cambria Math"/>
            <w:sz w:val="16"/>
            <w:szCs w:val="16"/>
          </w:rPr>
          <m:t>FIA en actividades intensas en carbono</m:t>
        </m:r>
      </m:oMath>
      <w:r w:rsidR="00B13E3F" w:rsidRPr="00B13E3F">
        <w:rPr>
          <w:rFonts w:ascii="Arial" w:hAnsi="Arial" w:cs="Arial"/>
          <w:b/>
          <w:sz w:val="16"/>
          <w:szCs w:val="16"/>
        </w:rPr>
        <w:t xml:space="preserve">: </w:t>
      </w:r>
      <w:r w:rsidR="001925F9">
        <w:rPr>
          <w:rFonts w:ascii="Arial" w:hAnsi="Arial" w:cs="Arial"/>
          <w:b/>
          <w:sz w:val="16"/>
          <w:szCs w:val="16"/>
        </w:rPr>
        <w:t xml:space="preserve">es el </w:t>
      </w:r>
      <w:r>
        <w:rPr>
          <w:rFonts w:ascii="Arial" w:hAnsi="Arial" w:cs="Arial"/>
          <w:b/>
          <w:sz w:val="16"/>
          <w:szCs w:val="16"/>
        </w:rPr>
        <w:t>m</w:t>
      </w:r>
      <w:r w:rsidR="00B13E3F" w:rsidRPr="00B13E3F">
        <w:rPr>
          <w:rFonts w:ascii="Arial" w:hAnsi="Arial" w:cs="Arial"/>
          <w:b/>
          <w:sz w:val="16"/>
          <w:szCs w:val="16"/>
        </w:rPr>
        <w:t>onto financiado, invertido o asegurado en sectores de alto consumo de combustibles fósiles (petróleo y gas, minería, transporte de combustión, generación eléctrica fósil).</w:t>
      </w:r>
    </w:p>
    <w:p w14:paraId="28EE6ED3" w14:textId="77777777" w:rsidR="00B13E3F" w:rsidRPr="00B13E3F" w:rsidRDefault="00B13E3F" w:rsidP="00B13E3F">
      <w:pPr>
        <w:tabs>
          <w:tab w:val="left" w:pos="567"/>
        </w:tabs>
        <w:contextualSpacing/>
        <w:jc w:val="both"/>
        <w:rPr>
          <w:rFonts w:ascii="Arial" w:hAnsi="Arial" w:cs="Arial"/>
          <w:b/>
          <w:sz w:val="16"/>
          <w:szCs w:val="16"/>
        </w:rPr>
      </w:pPr>
    </w:p>
    <w:p w14:paraId="5E1E6FD7" w14:textId="1B4EE7A9" w:rsidR="00B13E3F" w:rsidRPr="00B13E3F" w:rsidRDefault="003F2BC7" w:rsidP="00B13E3F">
      <w:pPr>
        <w:tabs>
          <w:tab w:val="left" w:pos="567"/>
        </w:tabs>
        <w:contextualSpacing/>
        <w:jc w:val="both"/>
        <w:rPr>
          <w:rFonts w:ascii="Arial" w:hAnsi="Arial" w:cs="Arial"/>
          <w:b/>
          <w:sz w:val="16"/>
          <w:szCs w:val="16"/>
        </w:rPr>
      </w:pPr>
      <m:oMath>
        <m:r>
          <m:rPr>
            <m:sty m:val="bi"/>
          </m:rPr>
          <w:rPr>
            <w:rFonts w:ascii="Cambria Math" w:eastAsia="Aptos" w:hAnsi="Cambria Math" w:cs="Cambria Math"/>
            <w:sz w:val="16"/>
            <w:szCs w:val="16"/>
          </w:rPr>
          <m:t>Factor de riesgo de transición</m:t>
        </m:r>
      </m:oMath>
      <w:r>
        <w:rPr>
          <w:rFonts w:ascii="Arial" w:hAnsi="Arial" w:cs="Arial"/>
          <w:b/>
          <w:bCs/>
          <w:sz w:val="16"/>
          <w:szCs w:val="16"/>
        </w:rPr>
        <w:t>:</w:t>
      </w:r>
      <w:r w:rsidRPr="00B13E3F">
        <w:rPr>
          <w:rFonts w:ascii="Arial" w:hAnsi="Arial" w:cs="Arial"/>
          <w:b/>
          <w:sz w:val="16"/>
          <w:szCs w:val="16"/>
        </w:rPr>
        <w:t xml:space="preserve"> </w:t>
      </w:r>
      <w:r>
        <w:rPr>
          <w:rFonts w:ascii="Arial" w:hAnsi="Arial" w:cs="Arial"/>
          <w:b/>
          <w:sz w:val="16"/>
          <w:szCs w:val="16"/>
        </w:rPr>
        <w:t>es el p</w:t>
      </w:r>
      <w:r w:rsidR="00B13E3F" w:rsidRPr="00B13E3F">
        <w:rPr>
          <w:rFonts w:ascii="Arial" w:hAnsi="Arial" w:cs="Arial"/>
          <w:b/>
          <w:sz w:val="16"/>
          <w:szCs w:val="16"/>
        </w:rPr>
        <w:t>onderador discrecional asignado por la entidad vigilada, según el número y la criticidad de las actividades contaminantes identificadas. En el siguiente numeral se presenta un ejemplo ilustrativo de c</w:t>
      </w:r>
      <w:r w:rsidR="00B13E3F" w:rsidRPr="00B13E3F">
        <w:rPr>
          <w:rFonts w:ascii="Arial" w:hAnsi="Arial" w:cs="Arial" w:hint="eastAsia"/>
          <w:b/>
          <w:sz w:val="16"/>
          <w:szCs w:val="16"/>
        </w:rPr>
        <w:t>ó</w:t>
      </w:r>
      <w:r w:rsidR="00B13E3F" w:rsidRPr="00B13E3F">
        <w:rPr>
          <w:rFonts w:ascii="Arial" w:hAnsi="Arial" w:cs="Arial"/>
          <w:b/>
          <w:sz w:val="16"/>
          <w:szCs w:val="16"/>
        </w:rPr>
        <w:t>mo asignar este valor.</w:t>
      </w:r>
    </w:p>
    <w:p w14:paraId="50B5671E" w14:textId="77777777" w:rsidR="00B13E3F" w:rsidRPr="00B13E3F" w:rsidRDefault="00B13E3F" w:rsidP="00B13E3F">
      <w:pPr>
        <w:tabs>
          <w:tab w:val="left" w:pos="567"/>
        </w:tabs>
        <w:contextualSpacing/>
        <w:jc w:val="both"/>
        <w:rPr>
          <w:rFonts w:ascii="Arial" w:hAnsi="Arial" w:cs="Arial"/>
          <w:b/>
          <w:sz w:val="16"/>
          <w:szCs w:val="16"/>
        </w:rPr>
      </w:pPr>
    </w:p>
    <w:p w14:paraId="5A41C5D6" w14:textId="4002D0EF" w:rsidR="00B13E3F" w:rsidRPr="00B13E3F" w:rsidRDefault="00A603F8" w:rsidP="00B13E3F">
      <w:pPr>
        <w:tabs>
          <w:tab w:val="left" w:pos="567"/>
        </w:tabs>
        <w:contextualSpacing/>
        <w:jc w:val="both"/>
        <w:rPr>
          <w:rFonts w:ascii="Arial" w:hAnsi="Arial" w:cs="Arial"/>
          <w:b/>
          <w:sz w:val="16"/>
          <w:szCs w:val="16"/>
        </w:rPr>
      </w:pPr>
      <m:oMath>
        <m:r>
          <m:rPr>
            <m:sty m:val="bi"/>
          </m:rPr>
          <w:rPr>
            <w:rFonts w:ascii="Cambria Math" w:eastAsia="Aptos" w:hAnsi="Cambria Math" w:cs="Cambria Math"/>
            <w:sz w:val="16"/>
            <w:szCs w:val="16"/>
          </w:rPr>
          <m:t>Valor total de referencia</m:t>
        </m:r>
      </m:oMath>
      <w:r>
        <w:rPr>
          <w:rFonts w:ascii="Arial" w:hAnsi="Arial" w:cs="Arial"/>
          <w:b/>
          <w:sz w:val="16"/>
          <w:szCs w:val="16"/>
        </w:rPr>
        <w:t>: es la s</w:t>
      </w:r>
      <w:r w:rsidR="00B13E3F" w:rsidRPr="00B13E3F">
        <w:rPr>
          <w:rFonts w:ascii="Arial" w:hAnsi="Arial" w:cs="Arial"/>
          <w:b/>
          <w:sz w:val="16"/>
          <w:szCs w:val="16"/>
        </w:rPr>
        <w:t>umatoria de todas las exposiciones materiales de la entidad.</w:t>
      </w:r>
    </w:p>
    <w:p w14:paraId="284F77B6" w14:textId="77777777" w:rsidR="00B13E3F" w:rsidRPr="00B13E3F" w:rsidRDefault="00B13E3F" w:rsidP="00B13E3F">
      <w:pPr>
        <w:tabs>
          <w:tab w:val="left" w:pos="567"/>
        </w:tabs>
        <w:contextualSpacing/>
        <w:jc w:val="both"/>
        <w:rPr>
          <w:rFonts w:ascii="Arial" w:hAnsi="Arial" w:cs="Arial"/>
          <w:b/>
          <w:sz w:val="16"/>
          <w:szCs w:val="16"/>
        </w:rPr>
      </w:pPr>
    </w:p>
    <w:p w14:paraId="0BB05A36" w14:textId="53565165" w:rsidR="00B13E3F" w:rsidRPr="00B13E3F" w:rsidRDefault="00A76EF7" w:rsidP="00B13E3F">
      <w:pPr>
        <w:tabs>
          <w:tab w:val="left" w:pos="567"/>
        </w:tabs>
        <w:contextualSpacing/>
        <w:jc w:val="both"/>
        <w:rPr>
          <w:rFonts w:ascii="Arial" w:hAnsi="Arial" w:cs="Arial"/>
          <w:b/>
          <w:sz w:val="16"/>
          <w:szCs w:val="16"/>
        </w:rPr>
      </w:pPr>
      <w:r>
        <w:rPr>
          <w:rFonts w:ascii="Arial" w:hAnsi="Arial" w:cs="Arial"/>
          <w:b/>
          <w:sz w:val="16"/>
          <w:szCs w:val="16"/>
        </w:rPr>
        <w:t xml:space="preserve">2.3.5. </w:t>
      </w:r>
      <w:r w:rsidR="00B13E3F" w:rsidRPr="00B13E3F">
        <w:rPr>
          <w:rFonts w:ascii="Arial" w:hAnsi="Arial" w:cs="Arial"/>
          <w:b/>
          <w:sz w:val="16"/>
          <w:szCs w:val="16"/>
        </w:rPr>
        <w:t xml:space="preserve">Fuente: </w:t>
      </w:r>
      <w:r w:rsidR="00D03EA1">
        <w:rPr>
          <w:rFonts w:ascii="Arial" w:hAnsi="Arial" w:cs="Arial"/>
          <w:b/>
          <w:sz w:val="16"/>
          <w:szCs w:val="16"/>
        </w:rPr>
        <w:t>l</w:t>
      </w:r>
      <w:r w:rsidR="00B13E3F" w:rsidRPr="00B13E3F">
        <w:rPr>
          <w:rFonts w:ascii="Arial" w:hAnsi="Arial" w:cs="Arial"/>
          <w:b/>
          <w:sz w:val="16"/>
          <w:szCs w:val="16"/>
        </w:rPr>
        <w:t>as fuentes señaladas a continuación, pueden ser utilizadas como insumo general para todas las variables de este indicador, según el criterio y disponibilidad de información de cada entidad.</w:t>
      </w:r>
    </w:p>
    <w:p w14:paraId="07817BF9" w14:textId="77777777" w:rsidR="00B13E3F" w:rsidRPr="00B13E3F" w:rsidRDefault="00B13E3F" w:rsidP="00B13E3F">
      <w:pPr>
        <w:tabs>
          <w:tab w:val="left" w:pos="567"/>
        </w:tabs>
        <w:contextualSpacing/>
        <w:jc w:val="both"/>
        <w:rPr>
          <w:rFonts w:ascii="Arial" w:hAnsi="Arial" w:cs="Arial"/>
          <w:b/>
          <w:sz w:val="16"/>
          <w:szCs w:val="16"/>
        </w:rPr>
      </w:pPr>
    </w:p>
    <w:p w14:paraId="35A1FB35" w14:textId="77777777" w:rsidR="00D03EA1" w:rsidRDefault="00B13E3F" w:rsidP="00217331">
      <w:pPr>
        <w:pStyle w:val="Prrafodelista"/>
        <w:numPr>
          <w:ilvl w:val="0"/>
          <w:numId w:val="2"/>
        </w:numPr>
        <w:tabs>
          <w:tab w:val="left" w:pos="567"/>
        </w:tabs>
        <w:jc w:val="both"/>
        <w:rPr>
          <w:rFonts w:ascii="Arial" w:hAnsi="Arial" w:cs="Arial"/>
          <w:b/>
          <w:sz w:val="16"/>
          <w:szCs w:val="16"/>
        </w:rPr>
      </w:pPr>
      <w:r w:rsidRPr="00D03EA1">
        <w:rPr>
          <w:rFonts w:ascii="Arial" w:hAnsi="Arial" w:cs="Arial"/>
          <w:b/>
          <w:sz w:val="16"/>
          <w:szCs w:val="16"/>
        </w:rPr>
        <w:t>MADS: Calculadora de carbono</w:t>
      </w:r>
    </w:p>
    <w:p w14:paraId="325D7C50" w14:textId="77777777" w:rsidR="00D03EA1" w:rsidRDefault="00B13E3F" w:rsidP="00217331">
      <w:pPr>
        <w:pStyle w:val="Prrafodelista"/>
        <w:numPr>
          <w:ilvl w:val="0"/>
          <w:numId w:val="2"/>
        </w:numPr>
        <w:tabs>
          <w:tab w:val="left" w:pos="567"/>
        </w:tabs>
        <w:jc w:val="both"/>
        <w:rPr>
          <w:rFonts w:ascii="Arial" w:hAnsi="Arial" w:cs="Arial"/>
          <w:b/>
          <w:sz w:val="16"/>
          <w:szCs w:val="16"/>
        </w:rPr>
      </w:pPr>
      <w:r w:rsidRPr="00D03EA1">
        <w:rPr>
          <w:rFonts w:ascii="Arial" w:hAnsi="Arial" w:cs="Arial"/>
          <w:b/>
          <w:sz w:val="16"/>
          <w:szCs w:val="16"/>
        </w:rPr>
        <w:t xml:space="preserve">IDEAM: Inventario Nacional de Emisiones y Absorciones Atmosféricas de Colombia </w:t>
      </w:r>
    </w:p>
    <w:p w14:paraId="66E51CCF" w14:textId="77777777" w:rsidR="00D03EA1" w:rsidRDefault="00B13E3F" w:rsidP="00217331">
      <w:pPr>
        <w:pStyle w:val="Prrafodelista"/>
        <w:numPr>
          <w:ilvl w:val="0"/>
          <w:numId w:val="2"/>
        </w:numPr>
        <w:tabs>
          <w:tab w:val="left" w:pos="567"/>
        </w:tabs>
        <w:jc w:val="both"/>
        <w:rPr>
          <w:rFonts w:ascii="Arial" w:hAnsi="Arial" w:cs="Arial"/>
          <w:b/>
          <w:sz w:val="16"/>
          <w:szCs w:val="16"/>
        </w:rPr>
      </w:pPr>
      <w:r w:rsidRPr="00D03EA1">
        <w:rPr>
          <w:rFonts w:ascii="Arial" w:hAnsi="Arial" w:cs="Arial"/>
          <w:b/>
          <w:sz w:val="16"/>
          <w:szCs w:val="16"/>
        </w:rPr>
        <w:t xml:space="preserve">DANE: Clasificación sectorial </w:t>
      </w:r>
    </w:p>
    <w:p w14:paraId="65F378C1" w14:textId="58C3B434" w:rsidR="00B13E3F" w:rsidRPr="00D03EA1" w:rsidRDefault="00B13E3F" w:rsidP="00217331">
      <w:pPr>
        <w:pStyle w:val="Prrafodelista"/>
        <w:numPr>
          <w:ilvl w:val="0"/>
          <w:numId w:val="2"/>
        </w:numPr>
        <w:tabs>
          <w:tab w:val="left" w:pos="567"/>
        </w:tabs>
        <w:jc w:val="both"/>
        <w:rPr>
          <w:rFonts w:ascii="Arial" w:hAnsi="Arial" w:cs="Arial"/>
          <w:b/>
          <w:sz w:val="16"/>
          <w:szCs w:val="16"/>
        </w:rPr>
      </w:pPr>
      <w:r w:rsidRPr="00D03EA1">
        <w:rPr>
          <w:rFonts w:ascii="Arial" w:hAnsi="Arial" w:cs="Arial"/>
          <w:b/>
          <w:sz w:val="16"/>
          <w:szCs w:val="16"/>
        </w:rPr>
        <w:t>Ministerio de Minas y Energía: Políticas de transición energética justa</w:t>
      </w:r>
    </w:p>
    <w:p w14:paraId="486C78A0" w14:textId="77777777" w:rsidR="00B13E3F" w:rsidRPr="00B13E3F" w:rsidRDefault="00B13E3F" w:rsidP="00B13E3F">
      <w:pPr>
        <w:tabs>
          <w:tab w:val="left" w:pos="567"/>
        </w:tabs>
        <w:contextualSpacing/>
        <w:jc w:val="both"/>
        <w:rPr>
          <w:rFonts w:ascii="Arial" w:hAnsi="Arial" w:cs="Arial"/>
          <w:b/>
          <w:sz w:val="16"/>
          <w:szCs w:val="16"/>
        </w:rPr>
      </w:pPr>
    </w:p>
    <w:p w14:paraId="045C7D47" w14:textId="592F0D60" w:rsidR="00B13E3F" w:rsidRPr="00B13E3F" w:rsidRDefault="00D03EA1" w:rsidP="00B13E3F">
      <w:pPr>
        <w:tabs>
          <w:tab w:val="left" w:pos="567"/>
        </w:tabs>
        <w:contextualSpacing/>
        <w:jc w:val="both"/>
        <w:rPr>
          <w:rFonts w:ascii="Arial" w:hAnsi="Arial" w:cs="Arial"/>
          <w:b/>
          <w:sz w:val="16"/>
          <w:szCs w:val="16"/>
        </w:rPr>
      </w:pPr>
      <w:r>
        <w:rPr>
          <w:rFonts w:ascii="Arial" w:hAnsi="Arial" w:cs="Arial"/>
          <w:b/>
          <w:sz w:val="16"/>
          <w:szCs w:val="16"/>
        </w:rPr>
        <w:t xml:space="preserve">2.3.6. </w:t>
      </w:r>
      <w:r w:rsidR="00B13E3F" w:rsidRPr="00B13E3F">
        <w:rPr>
          <w:rFonts w:ascii="Arial" w:hAnsi="Arial" w:cs="Arial"/>
          <w:b/>
          <w:sz w:val="16"/>
          <w:szCs w:val="16"/>
        </w:rPr>
        <w:t xml:space="preserve">Cobertura: </w:t>
      </w:r>
      <w:r w:rsidR="006811AF">
        <w:rPr>
          <w:rFonts w:ascii="Arial" w:hAnsi="Arial" w:cs="Arial"/>
          <w:b/>
          <w:sz w:val="16"/>
          <w:szCs w:val="16"/>
        </w:rPr>
        <w:t>S</w:t>
      </w:r>
      <w:r w:rsidR="00B13E3F" w:rsidRPr="00B13E3F">
        <w:rPr>
          <w:rFonts w:ascii="Arial" w:hAnsi="Arial" w:cs="Arial"/>
          <w:b/>
          <w:sz w:val="16"/>
          <w:szCs w:val="16"/>
        </w:rPr>
        <w:t>ectorial.</w:t>
      </w:r>
    </w:p>
    <w:p w14:paraId="6B3EB687" w14:textId="77777777" w:rsidR="00B13E3F" w:rsidRPr="00B13E3F" w:rsidRDefault="00B13E3F" w:rsidP="00B13E3F">
      <w:pPr>
        <w:tabs>
          <w:tab w:val="left" w:pos="567"/>
        </w:tabs>
        <w:contextualSpacing/>
        <w:jc w:val="both"/>
        <w:rPr>
          <w:rFonts w:ascii="Arial" w:hAnsi="Arial" w:cs="Arial"/>
          <w:b/>
          <w:sz w:val="16"/>
          <w:szCs w:val="16"/>
        </w:rPr>
      </w:pPr>
    </w:p>
    <w:p w14:paraId="3A8F815B" w14:textId="77777777" w:rsidR="00D40A9B" w:rsidRDefault="00D40A9B" w:rsidP="00B13E3F">
      <w:pPr>
        <w:tabs>
          <w:tab w:val="left" w:pos="567"/>
        </w:tabs>
        <w:contextualSpacing/>
        <w:jc w:val="both"/>
        <w:rPr>
          <w:rFonts w:ascii="Arial" w:hAnsi="Arial" w:cs="Arial"/>
          <w:b/>
          <w:sz w:val="16"/>
          <w:szCs w:val="16"/>
        </w:rPr>
      </w:pPr>
    </w:p>
    <w:p w14:paraId="74113072" w14:textId="62E306FA" w:rsidR="00B13E3F" w:rsidRPr="00B13E3F" w:rsidRDefault="00762C19" w:rsidP="00B13E3F">
      <w:pPr>
        <w:tabs>
          <w:tab w:val="left" w:pos="567"/>
        </w:tabs>
        <w:contextualSpacing/>
        <w:jc w:val="both"/>
        <w:rPr>
          <w:rFonts w:ascii="Arial" w:hAnsi="Arial" w:cs="Arial"/>
          <w:b/>
          <w:sz w:val="16"/>
          <w:szCs w:val="16"/>
        </w:rPr>
      </w:pPr>
      <w:r>
        <w:rPr>
          <w:rFonts w:ascii="Arial" w:hAnsi="Arial" w:cs="Arial"/>
          <w:b/>
          <w:sz w:val="16"/>
          <w:szCs w:val="16"/>
        </w:rPr>
        <w:t xml:space="preserve">2.4. </w:t>
      </w:r>
      <w:r w:rsidR="00B13E3F" w:rsidRPr="00B13E3F">
        <w:rPr>
          <w:rFonts w:ascii="Arial" w:hAnsi="Arial" w:cs="Arial" w:hint="eastAsia"/>
          <w:b/>
          <w:sz w:val="16"/>
          <w:szCs w:val="16"/>
        </w:rPr>
        <w:t>Í</w:t>
      </w:r>
      <w:r w:rsidR="00B13E3F" w:rsidRPr="00B13E3F">
        <w:rPr>
          <w:rFonts w:ascii="Arial" w:hAnsi="Arial" w:cs="Arial"/>
          <w:b/>
          <w:sz w:val="16"/>
          <w:szCs w:val="16"/>
        </w:rPr>
        <w:t>ndice de Vulnerabilidad Social (IVS)</w:t>
      </w:r>
    </w:p>
    <w:p w14:paraId="527C841E" w14:textId="77777777" w:rsidR="00B13E3F" w:rsidRPr="00B13E3F" w:rsidRDefault="00B13E3F" w:rsidP="00B13E3F">
      <w:pPr>
        <w:tabs>
          <w:tab w:val="left" w:pos="567"/>
        </w:tabs>
        <w:contextualSpacing/>
        <w:jc w:val="both"/>
        <w:rPr>
          <w:rFonts w:ascii="Arial" w:hAnsi="Arial" w:cs="Arial"/>
          <w:b/>
          <w:sz w:val="16"/>
          <w:szCs w:val="16"/>
        </w:rPr>
      </w:pPr>
    </w:p>
    <w:p w14:paraId="0DE552BC" w14:textId="5A957DCF" w:rsidR="00B13E3F" w:rsidRPr="00B13E3F" w:rsidRDefault="00762C19" w:rsidP="00B13E3F">
      <w:pPr>
        <w:tabs>
          <w:tab w:val="left" w:pos="567"/>
        </w:tabs>
        <w:contextualSpacing/>
        <w:jc w:val="both"/>
        <w:rPr>
          <w:rFonts w:ascii="Arial" w:hAnsi="Arial" w:cs="Arial"/>
          <w:b/>
          <w:sz w:val="16"/>
          <w:szCs w:val="16"/>
        </w:rPr>
      </w:pPr>
      <w:r>
        <w:rPr>
          <w:rFonts w:ascii="Arial" w:hAnsi="Arial" w:cs="Arial"/>
          <w:b/>
          <w:sz w:val="16"/>
          <w:szCs w:val="16"/>
        </w:rPr>
        <w:t xml:space="preserve">2.4.1. </w:t>
      </w:r>
      <w:r w:rsidR="00B13E3F" w:rsidRPr="00B13E3F">
        <w:rPr>
          <w:rFonts w:ascii="Arial" w:hAnsi="Arial" w:cs="Arial"/>
          <w:b/>
          <w:sz w:val="16"/>
          <w:szCs w:val="16"/>
        </w:rPr>
        <w:t xml:space="preserve">Tipo de indicador: </w:t>
      </w:r>
      <w:r w:rsidR="00D27808">
        <w:rPr>
          <w:rFonts w:ascii="Arial" w:hAnsi="Arial" w:cs="Arial"/>
          <w:b/>
          <w:sz w:val="16"/>
          <w:szCs w:val="16"/>
        </w:rPr>
        <w:t>s</w:t>
      </w:r>
      <w:r w:rsidR="00B13E3F" w:rsidRPr="00B13E3F">
        <w:rPr>
          <w:rFonts w:ascii="Arial" w:hAnsi="Arial" w:cs="Arial"/>
          <w:b/>
          <w:sz w:val="16"/>
          <w:szCs w:val="16"/>
        </w:rPr>
        <w:t>ocial.</w:t>
      </w:r>
    </w:p>
    <w:p w14:paraId="31A3B5FD" w14:textId="77777777" w:rsidR="00B13E3F" w:rsidRPr="00B13E3F" w:rsidRDefault="00B13E3F" w:rsidP="00B13E3F">
      <w:pPr>
        <w:tabs>
          <w:tab w:val="left" w:pos="567"/>
        </w:tabs>
        <w:contextualSpacing/>
        <w:jc w:val="both"/>
        <w:rPr>
          <w:rFonts w:ascii="Arial" w:hAnsi="Arial" w:cs="Arial"/>
          <w:b/>
          <w:sz w:val="16"/>
          <w:szCs w:val="16"/>
        </w:rPr>
      </w:pPr>
    </w:p>
    <w:p w14:paraId="70896D85" w14:textId="5AF54D0C" w:rsidR="00B13E3F" w:rsidRPr="00B13E3F" w:rsidRDefault="00762C19" w:rsidP="00B13E3F">
      <w:pPr>
        <w:tabs>
          <w:tab w:val="left" w:pos="567"/>
        </w:tabs>
        <w:contextualSpacing/>
        <w:jc w:val="both"/>
        <w:rPr>
          <w:rFonts w:ascii="Arial" w:hAnsi="Arial" w:cs="Arial"/>
          <w:b/>
          <w:sz w:val="16"/>
          <w:szCs w:val="16"/>
        </w:rPr>
      </w:pPr>
      <w:r>
        <w:rPr>
          <w:rFonts w:ascii="Arial" w:hAnsi="Arial" w:cs="Arial"/>
          <w:b/>
          <w:sz w:val="16"/>
          <w:szCs w:val="16"/>
        </w:rPr>
        <w:t xml:space="preserve">2.4.2. </w:t>
      </w:r>
      <w:r w:rsidR="00B13E3F" w:rsidRPr="00B13E3F">
        <w:rPr>
          <w:rFonts w:ascii="Arial" w:hAnsi="Arial" w:cs="Arial"/>
          <w:b/>
          <w:sz w:val="16"/>
          <w:szCs w:val="16"/>
        </w:rPr>
        <w:t xml:space="preserve">Propósito: </w:t>
      </w:r>
      <w:r w:rsidR="00D27808">
        <w:rPr>
          <w:rFonts w:ascii="Arial" w:hAnsi="Arial" w:cs="Arial"/>
          <w:b/>
          <w:sz w:val="16"/>
          <w:szCs w:val="16"/>
        </w:rPr>
        <w:t>c</w:t>
      </w:r>
      <w:r w:rsidR="00B13E3F" w:rsidRPr="00B13E3F">
        <w:rPr>
          <w:rFonts w:ascii="Arial" w:hAnsi="Arial" w:cs="Arial"/>
          <w:b/>
          <w:sz w:val="16"/>
          <w:szCs w:val="16"/>
        </w:rPr>
        <w:t>uantifica la exposición del portafolio o cartera a riesgos sociales en proyectos u operaciones. S</w:t>
      </w:r>
      <w:r w:rsidR="00217331">
        <w:rPr>
          <w:rFonts w:ascii="Arial" w:hAnsi="Arial" w:cs="Arial"/>
          <w:b/>
          <w:sz w:val="16"/>
          <w:szCs w:val="16"/>
        </w:rPr>
        <w:t xml:space="preserve">e compone del </w:t>
      </w:r>
      <w:r w:rsidR="00B13E3F" w:rsidRPr="00B13E3F">
        <w:rPr>
          <w:rFonts w:ascii="Arial" w:hAnsi="Arial" w:cs="Arial"/>
          <w:b/>
          <w:sz w:val="16"/>
          <w:szCs w:val="16"/>
        </w:rPr>
        <w:t xml:space="preserve">FIA, ponderado por un Factor de </w:t>
      </w:r>
      <w:r w:rsidR="006D0BA8">
        <w:rPr>
          <w:rFonts w:ascii="Arial" w:hAnsi="Arial" w:cs="Arial"/>
          <w:b/>
          <w:sz w:val="16"/>
          <w:szCs w:val="16"/>
        </w:rPr>
        <w:t>i</w:t>
      </w:r>
      <w:r w:rsidR="00B13E3F" w:rsidRPr="00B13E3F">
        <w:rPr>
          <w:rFonts w:ascii="Arial" w:hAnsi="Arial" w:cs="Arial"/>
          <w:b/>
          <w:sz w:val="16"/>
          <w:szCs w:val="16"/>
        </w:rPr>
        <w:t xml:space="preserve">mpacto </w:t>
      </w:r>
      <w:r w:rsidR="006D0BA8">
        <w:rPr>
          <w:rFonts w:ascii="Arial" w:hAnsi="Arial" w:cs="Arial"/>
          <w:b/>
          <w:sz w:val="16"/>
          <w:szCs w:val="16"/>
        </w:rPr>
        <w:t>s</w:t>
      </w:r>
      <w:r w:rsidR="00B13E3F" w:rsidRPr="00B13E3F">
        <w:rPr>
          <w:rFonts w:ascii="Arial" w:hAnsi="Arial" w:cs="Arial"/>
          <w:b/>
          <w:sz w:val="16"/>
          <w:szCs w:val="16"/>
        </w:rPr>
        <w:t>ocial (FIS) que refleja el grado de cumplimiento de estándares internacionales</w:t>
      </w:r>
      <w:r w:rsidR="006D0BA8">
        <w:rPr>
          <w:rFonts w:ascii="Arial" w:hAnsi="Arial" w:cs="Arial"/>
          <w:b/>
          <w:sz w:val="16"/>
          <w:szCs w:val="16"/>
        </w:rPr>
        <w:t>, tales</w:t>
      </w:r>
      <w:r w:rsidR="00B13E3F" w:rsidRPr="00B13E3F">
        <w:rPr>
          <w:rFonts w:ascii="Arial" w:hAnsi="Arial" w:cs="Arial"/>
          <w:b/>
          <w:sz w:val="16"/>
          <w:szCs w:val="16"/>
        </w:rPr>
        <w:t xml:space="preserve"> como las Normas de Desempeño de la IFC (1–5, 7 y 8) y los ODS (1–5, 10), frente al valor total del portafolio o cartera de la entidad vigilada. </w:t>
      </w:r>
    </w:p>
    <w:p w14:paraId="633B7383" w14:textId="77777777" w:rsidR="00B13E3F" w:rsidRPr="00B13E3F" w:rsidRDefault="00B13E3F" w:rsidP="00B13E3F">
      <w:pPr>
        <w:tabs>
          <w:tab w:val="left" w:pos="567"/>
        </w:tabs>
        <w:contextualSpacing/>
        <w:jc w:val="both"/>
        <w:rPr>
          <w:rFonts w:ascii="Arial" w:hAnsi="Arial" w:cs="Arial"/>
          <w:b/>
          <w:sz w:val="16"/>
          <w:szCs w:val="16"/>
        </w:rPr>
      </w:pPr>
    </w:p>
    <w:p w14:paraId="7ACB4D84" w14:textId="77777777" w:rsid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La medición del IVS facilita la priorización de acciones de mitigación, la gestión dinámica de riesgos sociales y la alineación de la gobernanza interna con mejores prácticas internacionales. De este modo, el IVS se convierte en una herramienta técnica y estratégica que no solo complementa el análisis de riesgo crediticio, sino que también fortalece la capacidad institucional para identificar tendencias de riesgo social, asignar eficientemente el capital y responder a los requerimientos de sostenibilidad y responsabilidad social.</w:t>
      </w:r>
    </w:p>
    <w:p w14:paraId="73CD0723" w14:textId="77777777" w:rsidR="00422D73" w:rsidRDefault="00422D73" w:rsidP="00B13E3F">
      <w:pPr>
        <w:tabs>
          <w:tab w:val="left" w:pos="567"/>
        </w:tabs>
        <w:contextualSpacing/>
        <w:jc w:val="both"/>
        <w:rPr>
          <w:rFonts w:ascii="Arial" w:hAnsi="Arial" w:cs="Arial"/>
          <w:b/>
          <w:sz w:val="16"/>
          <w:szCs w:val="16"/>
        </w:rPr>
      </w:pPr>
    </w:p>
    <w:p w14:paraId="37C5F9EA" w14:textId="2B255548" w:rsidR="00422D73" w:rsidRPr="00B13E3F" w:rsidRDefault="00422D73" w:rsidP="00422D73">
      <w:pPr>
        <w:tabs>
          <w:tab w:val="left" w:pos="567"/>
        </w:tabs>
        <w:contextualSpacing/>
        <w:jc w:val="both"/>
        <w:rPr>
          <w:rFonts w:ascii="Arial" w:hAnsi="Arial" w:cs="Arial"/>
          <w:b/>
          <w:sz w:val="16"/>
          <w:szCs w:val="16"/>
        </w:rPr>
      </w:pPr>
      <w:r>
        <w:rPr>
          <w:rFonts w:ascii="Arial" w:hAnsi="Arial" w:cs="Arial"/>
          <w:b/>
          <w:sz w:val="16"/>
          <w:szCs w:val="16"/>
        </w:rPr>
        <w:t>Este indicador puede ser utilizado por los e</w:t>
      </w:r>
      <w:r w:rsidRPr="00B13E3F">
        <w:rPr>
          <w:rFonts w:ascii="Arial" w:hAnsi="Arial" w:cs="Arial"/>
          <w:b/>
          <w:sz w:val="16"/>
          <w:szCs w:val="16"/>
        </w:rPr>
        <w:t xml:space="preserve">stablecimientos de </w:t>
      </w:r>
      <w:r w:rsidR="00BD1260">
        <w:rPr>
          <w:rFonts w:ascii="Arial" w:hAnsi="Arial" w:cs="Arial"/>
          <w:b/>
          <w:sz w:val="16"/>
          <w:szCs w:val="16"/>
        </w:rPr>
        <w:t>c</w:t>
      </w:r>
      <w:r w:rsidRPr="00B13E3F">
        <w:rPr>
          <w:rFonts w:ascii="Arial" w:hAnsi="Arial" w:cs="Arial"/>
          <w:b/>
          <w:sz w:val="16"/>
          <w:szCs w:val="16"/>
        </w:rPr>
        <w:t>rédito</w:t>
      </w:r>
      <w:r>
        <w:rPr>
          <w:rFonts w:ascii="Arial" w:hAnsi="Arial" w:cs="Arial"/>
          <w:b/>
          <w:sz w:val="16"/>
          <w:szCs w:val="16"/>
        </w:rPr>
        <w:t>, las entidades a</w:t>
      </w:r>
      <w:r w:rsidRPr="00B13E3F">
        <w:rPr>
          <w:rFonts w:ascii="Arial" w:hAnsi="Arial" w:cs="Arial"/>
          <w:b/>
          <w:sz w:val="16"/>
          <w:szCs w:val="16"/>
        </w:rPr>
        <w:t>seguradoras y</w:t>
      </w:r>
      <w:r>
        <w:rPr>
          <w:rFonts w:ascii="Arial" w:hAnsi="Arial" w:cs="Arial"/>
          <w:b/>
          <w:sz w:val="16"/>
          <w:szCs w:val="16"/>
        </w:rPr>
        <w:t xml:space="preserve"> las entidades que administran recursos de terceros. </w:t>
      </w:r>
    </w:p>
    <w:p w14:paraId="6469B47E" w14:textId="77777777" w:rsidR="00B13E3F" w:rsidRPr="00B13E3F" w:rsidRDefault="00B13E3F" w:rsidP="00B13E3F">
      <w:pPr>
        <w:tabs>
          <w:tab w:val="left" w:pos="567"/>
        </w:tabs>
        <w:contextualSpacing/>
        <w:jc w:val="both"/>
        <w:rPr>
          <w:rFonts w:ascii="Arial" w:hAnsi="Arial" w:cs="Arial"/>
          <w:b/>
          <w:sz w:val="16"/>
          <w:szCs w:val="16"/>
        </w:rPr>
      </w:pPr>
    </w:p>
    <w:p w14:paraId="463E2335" w14:textId="341C9628" w:rsidR="00B13E3F" w:rsidRPr="00B13E3F" w:rsidRDefault="00762C19" w:rsidP="00B13E3F">
      <w:pPr>
        <w:tabs>
          <w:tab w:val="left" w:pos="567"/>
        </w:tabs>
        <w:contextualSpacing/>
        <w:jc w:val="both"/>
        <w:rPr>
          <w:rFonts w:ascii="Arial" w:hAnsi="Arial" w:cs="Arial"/>
          <w:b/>
          <w:sz w:val="16"/>
          <w:szCs w:val="16"/>
        </w:rPr>
      </w:pPr>
      <w:r>
        <w:rPr>
          <w:rFonts w:ascii="Arial" w:hAnsi="Arial" w:cs="Arial"/>
          <w:b/>
          <w:sz w:val="16"/>
          <w:szCs w:val="16"/>
        </w:rPr>
        <w:t xml:space="preserve">2.4.3. </w:t>
      </w:r>
      <w:r w:rsidR="00B13E3F" w:rsidRPr="00B13E3F">
        <w:rPr>
          <w:rFonts w:ascii="Arial" w:hAnsi="Arial" w:cs="Arial"/>
          <w:b/>
          <w:sz w:val="16"/>
          <w:szCs w:val="16"/>
        </w:rPr>
        <w:t>Fórmula:</w:t>
      </w:r>
    </w:p>
    <w:p w14:paraId="58D99580" w14:textId="77777777" w:rsidR="00B13E3F" w:rsidRPr="00B13E3F" w:rsidRDefault="00B13E3F" w:rsidP="00B13E3F">
      <w:pPr>
        <w:tabs>
          <w:tab w:val="left" w:pos="567"/>
        </w:tabs>
        <w:contextualSpacing/>
        <w:jc w:val="both"/>
        <w:rPr>
          <w:rFonts w:ascii="Arial" w:hAnsi="Arial" w:cs="Arial"/>
          <w:b/>
          <w:sz w:val="16"/>
          <w:szCs w:val="16"/>
        </w:rPr>
      </w:pPr>
    </w:p>
    <w:p w14:paraId="1C7507AA" w14:textId="13ACC309" w:rsidR="00B23905" w:rsidRPr="00320905" w:rsidRDefault="00320905" w:rsidP="00B23905">
      <w:pPr>
        <w:jc w:val="center"/>
        <w:rPr>
          <w:b/>
          <w:bCs/>
          <w:sz w:val="16"/>
          <w:szCs w:val="16"/>
        </w:rPr>
      </w:pPr>
      <m:oMathPara>
        <m:oMath>
          <m:r>
            <m:rPr>
              <m:sty m:val="bi"/>
            </m:rPr>
            <w:rPr>
              <w:rFonts w:ascii="Cambria Math" w:hAnsi="Cambria Math"/>
              <w:sz w:val="16"/>
              <w:szCs w:val="16"/>
            </w:rPr>
            <m:t>IVS=</m:t>
          </m:r>
          <m:f>
            <m:fPr>
              <m:ctrlPr>
                <w:rPr>
                  <w:rFonts w:ascii="Cambria Math" w:hAnsi="Cambria Math"/>
                  <w:b/>
                  <w:bCs/>
                  <w:sz w:val="16"/>
                  <w:szCs w:val="16"/>
                </w:rPr>
              </m:ctrlPr>
            </m:fPr>
            <m:num>
              <m:r>
                <m:rPr>
                  <m:sty m:val="bi"/>
                </m:rPr>
                <w:rPr>
                  <w:rFonts w:ascii="Cambria Math" w:hAnsi="Cambria Math"/>
                  <w:sz w:val="16"/>
                  <w:szCs w:val="16"/>
                </w:rPr>
                <m:t>FIA×Factor de impacto social</m:t>
              </m:r>
            </m:num>
            <m:den>
              <m:r>
                <m:rPr>
                  <m:sty m:val="bi"/>
                </m:rPr>
                <w:rPr>
                  <w:rFonts w:ascii="Cambria Math" w:hAnsi="Cambria Math"/>
                  <w:sz w:val="16"/>
                  <w:szCs w:val="16"/>
                </w:rPr>
                <m:t>Valor total de referencia</m:t>
              </m:r>
            </m:den>
          </m:f>
          <m:r>
            <m:rPr>
              <m:sty m:val="bi"/>
            </m:rPr>
            <w:rPr>
              <w:rFonts w:ascii="Cambria Math" w:hAnsi="Cambria Math"/>
              <w:sz w:val="16"/>
              <w:szCs w:val="16"/>
            </w:rPr>
            <m:t>×100</m:t>
          </m:r>
        </m:oMath>
      </m:oMathPara>
    </w:p>
    <w:p w14:paraId="46CC8B66" w14:textId="77777777" w:rsidR="00B13E3F" w:rsidRPr="00B23905" w:rsidRDefault="00B13E3F" w:rsidP="00B13E3F">
      <w:pPr>
        <w:tabs>
          <w:tab w:val="left" w:pos="567"/>
        </w:tabs>
        <w:contextualSpacing/>
        <w:jc w:val="both"/>
        <w:rPr>
          <w:rFonts w:ascii="Arial" w:hAnsi="Arial" w:cs="Arial"/>
          <w:b/>
          <w:sz w:val="16"/>
          <w:szCs w:val="16"/>
        </w:rPr>
      </w:pPr>
    </w:p>
    <w:p w14:paraId="20920275" w14:textId="77777777" w:rsidR="00B23905" w:rsidRPr="00B13E3F" w:rsidRDefault="00B23905" w:rsidP="00B13E3F">
      <w:pPr>
        <w:tabs>
          <w:tab w:val="left" w:pos="567"/>
        </w:tabs>
        <w:contextualSpacing/>
        <w:jc w:val="both"/>
        <w:rPr>
          <w:rFonts w:ascii="Arial" w:hAnsi="Arial" w:cs="Arial"/>
          <w:b/>
          <w:sz w:val="16"/>
          <w:szCs w:val="16"/>
        </w:rPr>
      </w:pPr>
    </w:p>
    <w:p w14:paraId="300CAA96" w14:textId="491CE3E7"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El índice se presenta como porcentaje y su medición puede ser actualizada acorde con disponibilidad de la fuente. Se sugiere realizar el cálculo del indicador de manera semestral.</w:t>
      </w:r>
    </w:p>
    <w:p w14:paraId="70F910DC" w14:textId="77777777" w:rsidR="00B13E3F" w:rsidRPr="00B13E3F" w:rsidRDefault="00B13E3F" w:rsidP="00B13E3F">
      <w:pPr>
        <w:tabs>
          <w:tab w:val="left" w:pos="567"/>
        </w:tabs>
        <w:contextualSpacing/>
        <w:jc w:val="both"/>
        <w:rPr>
          <w:rFonts w:ascii="Arial" w:hAnsi="Arial" w:cs="Arial"/>
          <w:b/>
          <w:sz w:val="16"/>
          <w:szCs w:val="16"/>
        </w:rPr>
      </w:pPr>
    </w:p>
    <w:p w14:paraId="1E08B5FE" w14:textId="5091C389" w:rsidR="00B13E3F" w:rsidRPr="00B13E3F" w:rsidRDefault="00762C19" w:rsidP="00B13E3F">
      <w:pPr>
        <w:tabs>
          <w:tab w:val="left" w:pos="567"/>
        </w:tabs>
        <w:contextualSpacing/>
        <w:jc w:val="both"/>
        <w:rPr>
          <w:rFonts w:ascii="Arial" w:hAnsi="Arial" w:cs="Arial"/>
          <w:b/>
          <w:sz w:val="16"/>
          <w:szCs w:val="16"/>
        </w:rPr>
      </w:pPr>
      <w:r>
        <w:rPr>
          <w:rFonts w:ascii="Arial" w:hAnsi="Arial" w:cs="Arial"/>
          <w:b/>
          <w:sz w:val="16"/>
          <w:szCs w:val="16"/>
        </w:rPr>
        <w:t xml:space="preserve">2.4.4. </w:t>
      </w:r>
      <w:r w:rsidR="00B13E3F" w:rsidRPr="00B13E3F">
        <w:rPr>
          <w:rFonts w:ascii="Arial" w:hAnsi="Arial" w:cs="Arial"/>
          <w:b/>
          <w:sz w:val="16"/>
          <w:szCs w:val="16"/>
        </w:rPr>
        <w:t>Variables:</w:t>
      </w:r>
    </w:p>
    <w:p w14:paraId="4F3AA4AB" w14:textId="77777777" w:rsidR="00B13E3F" w:rsidRPr="00B13E3F" w:rsidRDefault="00B13E3F" w:rsidP="00B13E3F">
      <w:pPr>
        <w:tabs>
          <w:tab w:val="left" w:pos="567"/>
        </w:tabs>
        <w:contextualSpacing/>
        <w:jc w:val="both"/>
        <w:rPr>
          <w:rFonts w:ascii="Arial" w:hAnsi="Arial" w:cs="Arial"/>
          <w:b/>
          <w:sz w:val="16"/>
          <w:szCs w:val="16"/>
        </w:rPr>
      </w:pPr>
    </w:p>
    <w:p w14:paraId="17CC1455" w14:textId="01710211" w:rsidR="00B13E3F" w:rsidRPr="00B13E3F" w:rsidRDefault="00F66D2F"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FIA:</m:t>
        </m:r>
      </m:oMath>
      <w:r w:rsidR="00320905" w:rsidRPr="00B13E3F">
        <w:rPr>
          <w:rFonts w:ascii="Arial" w:hAnsi="Arial" w:cs="Arial"/>
          <w:b/>
          <w:sz w:val="16"/>
          <w:szCs w:val="16"/>
        </w:rPr>
        <w:t xml:space="preserve"> </w:t>
      </w:r>
      <w:r>
        <w:rPr>
          <w:rFonts w:ascii="Arial" w:hAnsi="Arial" w:cs="Arial"/>
          <w:b/>
          <w:sz w:val="16"/>
          <w:szCs w:val="16"/>
        </w:rPr>
        <w:t>es la s</w:t>
      </w:r>
      <w:r w:rsidRPr="00B13E3F">
        <w:rPr>
          <w:rFonts w:ascii="Arial" w:hAnsi="Arial" w:cs="Arial"/>
          <w:b/>
          <w:sz w:val="16"/>
          <w:szCs w:val="16"/>
        </w:rPr>
        <w:t xml:space="preserve">umatoria de FIA </w:t>
      </w:r>
      <w:r w:rsidR="00B13E3F" w:rsidRPr="00B13E3F">
        <w:rPr>
          <w:rFonts w:ascii="Arial" w:hAnsi="Arial" w:cs="Arial"/>
          <w:b/>
          <w:sz w:val="16"/>
          <w:szCs w:val="16"/>
        </w:rPr>
        <w:t>con enfoque social.</w:t>
      </w:r>
    </w:p>
    <w:p w14:paraId="0B34BD0D" w14:textId="77777777" w:rsidR="00B13E3F" w:rsidRPr="00B13E3F" w:rsidRDefault="00B13E3F" w:rsidP="00B13E3F">
      <w:pPr>
        <w:tabs>
          <w:tab w:val="left" w:pos="567"/>
        </w:tabs>
        <w:contextualSpacing/>
        <w:jc w:val="both"/>
        <w:rPr>
          <w:rFonts w:ascii="Arial" w:hAnsi="Arial" w:cs="Arial"/>
          <w:b/>
          <w:sz w:val="16"/>
          <w:szCs w:val="16"/>
        </w:rPr>
      </w:pPr>
    </w:p>
    <w:p w14:paraId="014549BC" w14:textId="69E1B91E" w:rsidR="00B13E3F" w:rsidRPr="00B13E3F" w:rsidRDefault="004B094A"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Factor de impacto social</m:t>
        </m:r>
      </m:oMath>
      <w:r w:rsidR="00B13E3F" w:rsidRPr="00B13E3F">
        <w:rPr>
          <w:rFonts w:ascii="Arial" w:hAnsi="Arial" w:cs="Arial"/>
          <w:b/>
          <w:sz w:val="16"/>
          <w:szCs w:val="16"/>
        </w:rPr>
        <w:t xml:space="preserve">: </w:t>
      </w:r>
      <w:r>
        <w:rPr>
          <w:rFonts w:ascii="Arial" w:hAnsi="Arial" w:cs="Arial"/>
          <w:b/>
          <w:sz w:val="16"/>
          <w:szCs w:val="16"/>
        </w:rPr>
        <w:t>es el p</w:t>
      </w:r>
      <w:r w:rsidR="00B13E3F" w:rsidRPr="00B13E3F">
        <w:rPr>
          <w:rFonts w:ascii="Arial" w:hAnsi="Arial" w:cs="Arial"/>
          <w:b/>
          <w:sz w:val="16"/>
          <w:szCs w:val="16"/>
        </w:rPr>
        <w:t>onderador según cumplimiento de estándares IFC y ODS. El FIS es un insumo clave, ya que debe ser definido técnicamente por la entidad vigilada a partir de criterios objetivos y verificables, tales como la existencia de sistemas de gestión social, políticas laborales, mecanismos de participación comunitaria, protección de derechos de grupos vulnerables y cumplimiento normativo, asignando un nivel de riesgo (alto, medio o bajo) según el porcentaje de cumplimiento de estos estándares.</w:t>
      </w:r>
      <w:r w:rsidR="001F2CA1">
        <w:rPr>
          <w:rFonts w:ascii="Arial" w:hAnsi="Arial" w:cs="Arial"/>
          <w:b/>
          <w:sz w:val="16"/>
          <w:szCs w:val="16"/>
        </w:rPr>
        <w:t xml:space="preserve"> Los ponderadores sugeridos son:</w:t>
      </w:r>
    </w:p>
    <w:p w14:paraId="4D05C78D" w14:textId="77777777" w:rsidR="009D6E33" w:rsidRDefault="009D6E33" w:rsidP="009D6E33">
      <w:pPr>
        <w:tabs>
          <w:tab w:val="left" w:pos="567"/>
        </w:tabs>
        <w:jc w:val="both"/>
        <w:rPr>
          <w:rFonts w:ascii="Arial" w:hAnsi="Arial" w:cs="Arial"/>
          <w:b/>
          <w:sz w:val="16"/>
          <w:szCs w:val="16"/>
        </w:rPr>
      </w:pPr>
    </w:p>
    <w:p w14:paraId="01B55C9C" w14:textId="6A9E0FCD" w:rsidR="009D6E33" w:rsidRDefault="00B13E3F" w:rsidP="00B13E3F">
      <w:pPr>
        <w:pStyle w:val="Prrafodelista"/>
        <w:numPr>
          <w:ilvl w:val="0"/>
          <w:numId w:val="4"/>
        </w:numPr>
        <w:tabs>
          <w:tab w:val="left" w:pos="567"/>
        </w:tabs>
        <w:jc w:val="both"/>
        <w:rPr>
          <w:rFonts w:ascii="Arial" w:hAnsi="Arial" w:cs="Arial"/>
          <w:b/>
          <w:sz w:val="16"/>
          <w:szCs w:val="16"/>
        </w:rPr>
      </w:pPr>
      <w:r w:rsidRPr="009D6E33">
        <w:rPr>
          <w:rFonts w:ascii="Arial" w:hAnsi="Arial" w:cs="Arial"/>
          <w:b/>
          <w:sz w:val="16"/>
          <w:szCs w:val="16"/>
        </w:rPr>
        <w:t xml:space="preserve">Alto: </w:t>
      </w:r>
      <w:r w:rsidR="009D6E33">
        <w:rPr>
          <w:rFonts w:ascii="Arial" w:hAnsi="Arial" w:cs="Arial"/>
          <w:b/>
          <w:sz w:val="16"/>
          <w:szCs w:val="16"/>
        </w:rPr>
        <w:tab/>
      </w:r>
      <w:r w:rsidRPr="009D6E33">
        <w:rPr>
          <w:rFonts w:ascii="Arial" w:hAnsi="Arial" w:cs="Arial"/>
          <w:b/>
          <w:sz w:val="16"/>
          <w:szCs w:val="16"/>
        </w:rPr>
        <w:t>0%-33%</w:t>
      </w:r>
    </w:p>
    <w:p w14:paraId="46B82EB3" w14:textId="4CD124EE" w:rsidR="009D6E33" w:rsidRDefault="00B13E3F" w:rsidP="00B13E3F">
      <w:pPr>
        <w:pStyle w:val="Prrafodelista"/>
        <w:numPr>
          <w:ilvl w:val="0"/>
          <w:numId w:val="4"/>
        </w:numPr>
        <w:tabs>
          <w:tab w:val="left" w:pos="567"/>
        </w:tabs>
        <w:jc w:val="both"/>
        <w:rPr>
          <w:rFonts w:ascii="Arial" w:hAnsi="Arial" w:cs="Arial"/>
          <w:b/>
          <w:sz w:val="16"/>
          <w:szCs w:val="16"/>
        </w:rPr>
      </w:pPr>
      <w:r w:rsidRPr="009D6E33">
        <w:rPr>
          <w:rFonts w:ascii="Arial" w:hAnsi="Arial" w:cs="Arial"/>
          <w:b/>
          <w:sz w:val="16"/>
          <w:szCs w:val="16"/>
        </w:rPr>
        <w:t xml:space="preserve">Medio: </w:t>
      </w:r>
      <w:r w:rsidR="009D6E33">
        <w:rPr>
          <w:rFonts w:ascii="Arial" w:hAnsi="Arial" w:cs="Arial"/>
          <w:b/>
          <w:sz w:val="16"/>
          <w:szCs w:val="16"/>
        </w:rPr>
        <w:tab/>
      </w:r>
      <w:r w:rsidRPr="009D6E33">
        <w:rPr>
          <w:rFonts w:ascii="Arial" w:hAnsi="Arial" w:cs="Arial"/>
          <w:b/>
          <w:sz w:val="16"/>
          <w:szCs w:val="16"/>
        </w:rPr>
        <w:t>&gt;33% &lt;66%</w:t>
      </w:r>
    </w:p>
    <w:p w14:paraId="7281DE9C" w14:textId="0E82A92A" w:rsidR="00B13E3F" w:rsidRPr="009D6E33" w:rsidRDefault="00B13E3F" w:rsidP="00B13E3F">
      <w:pPr>
        <w:pStyle w:val="Prrafodelista"/>
        <w:numPr>
          <w:ilvl w:val="0"/>
          <w:numId w:val="4"/>
        </w:numPr>
        <w:tabs>
          <w:tab w:val="left" w:pos="567"/>
        </w:tabs>
        <w:jc w:val="both"/>
        <w:rPr>
          <w:rFonts w:ascii="Arial" w:hAnsi="Arial" w:cs="Arial"/>
          <w:b/>
          <w:sz w:val="16"/>
          <w:szCs w:val="16"/>
        </w:rPr>
      </w:pPr>
      <w:r w:rsidRPr="009D6E33">
        <w:rPr>
          <w:rFonts w:ascii="Arial" w:hAnsi="Arial" w:cs="Arial"/>
          <w:b/>
          <w:sz w:val="16"/>
          <w:szCs w:val="16"/>
        </w:rPr>
        <w:t>Bajo</w:t>
      </w:r>
      <w:r w:rsidR="009D6E33">
        <w:rPr>
          <w:rFonts w:ascii="Arial" w:hAnsi="Arial" w:cs="Arial"/>
          <w:b/>
          <w:sz w:val="16"/>
          <w:szCs w:val="16"/>
        </w:rPr>
        <w:t xml:space="preserve">: </w:t>
      </w:r>
      <w:r w:rsidR="009D6E33">
        <w:rPr>
          <w:rFonts w:ascii="Arial" w:hAnsi="Arial" w:cs="Arial"/>
          <w:b/>
          <w:sz w:val="16"/>
          <w:szCs w:val="16"/>
        </w:rPr>
        <w:tab/>
      </w:r>
      <w:r w:rsidRPr="009D6E33">
        <w:rPr>
          <w:rFonts w:ascii="Arial" w:hAnsi="Arial" w:cs="Arial"/>
          <w:b/>
          <w:sz w:val="16"/>
          <w:szCs w:val="16"/>
        </w:rPr>
        <w:t>&gt;66%</w:t>
      </w:r>
    </w:p>
    <w:p w14:paraId="7B45F051" w14:textId="77777777" w:rsidR="00B13E3F" w:rsidRPr="00B13E3F" w:rsidRDefault="00B13E3F" w:rsidP="00B13E3F">
      <w:pPr>
        <w:tabs>
          <w:tab w:val="left" w:pos="567"/>
        </w:tabs>
        <w:contextualSpacing/>
        <w:jc w:val="both"/>
        <w:rPr>
          <w:rFonts w:ascii="Arial" w:hAnsi="Arial" w:cs="Arial"/>
          <w:b/>
          <w:sz w:val="16"/>
          <w:szCs w:val="16"/>
        </w:rPr>
      </w:pPr>
    </w:p>
    <w:p w14:paraId="45215820" w14:textId="30F65DD9" w:rsidR="00B13E3F" w:rsidRPr="00B13E3F" w:rsidRDefault="004B094A"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Valor total de referencia</m:t>
        </m:r>
      </m:oMath>
      <w:r w:rsidR="00B13E3F" w:rsidRPr="00B13E3F">
        <w:rPr>
          <w:rFonts w:ascii="Arial" w:hAnsi="Arial" w:cs="Arial"/>
          <w:b/>
          <w:sz w:val="16"/>
          <w:szCs w:val="16"/>
        </w:rPr>
        <w:t>: Sumatoria de todas las exposiciones materiales de la entidad.</w:t>
      </w:r>
    </w:p>
    <w:p w14:paraId="2B3E917A" w14:textId="77777777" w:rsidR="00B13E3F" w:rsidRPr="00B13E3F" w:rsidRDefault="00B13E3F" w:rsidP="00B13E3F">
      <w:pPr>
        <w:tabs>
          <w:tab w:val="left" w:pos="567"/>
        </w:tabs>
        <w:contextualSpacing/>
        <w:jc w:val="both"/>
        <w:rPr>
          <w:rFonts w:ascii="Arial" w:hAnsi="Arial" w:cs="Arial"/>
          <w:b/>
          <w:sz w:val="16"/>
          <w:szCs w:val="16"/>
        </w:rPr>
      </w:pPr>
    </w:p>
    <w:p w14:paraId="1A5FC499" w14:textId="32965250" w:rsidR="00B13E3F" w:rsidRPr="00B13E3F" w:rsidRDefault="00873F21" w:rsidP="00B13E3F">
      <w:pPr>
        <w:tabs>
          <w:tab w:val="left" w:pos="567"/>
        </w:tabs>
        <w:contextualSpacing/>
        <w:jc w:val="both"/>
        <w:rPr>
          <w:rFonts w:ascii="Arial" w:hAnsi="Arial" w:cs="Arial"/>
          <w:b/>
          <w:sz w:val="16"/>
          <w:szCs w:val="16"/>
        </w:rPr>
      </w:pPr>
      <w:r>
        <w:rPr>
          <w:rFonts w:ascii="Arial" w:hAnsi="Arial" w:cs="Arial"/>
          <w:b/>
          <w:sz w:val="16"/>
          <w:szCs w:val="16"/>
        </w:rPr>
        <w:t xml:space="preserve">2.4.5. </w:t>
      </w:r>
      <w:r w:rsidR="00B13E3F" w:rsidRPr="00B13E3F">
        <w:rPr>
          <w:rFonts w:ascii="Arial" w:hAnsi="Arial" w:cs="Arial"/>
          <w:b/>
          <w:sz w:val="16"/>
          <w:szCs w:val="16"/>
        </w:rPr>
        <w:t xml:space="preserve">Fuente: </w:t>
      </w:r>
      <w:r>
        <w:rPr>
          <w:rFonts w:ascii="Arial" w:hAnsi="Arial" w:cs="Arial"/>
          <w:b/>
          <w:sz w:val="16"/>
          <w:szCs w:val="16"/>
        </w:rPr>
        <w:t>l</w:t>
      </w:r>
      <w:r w:rsidR="00B13E3F" w:rsidRPr="00B13E3F">
        <w:rPr>
          <w:rFonts w:ascii="Arial" w:hAnsi="Arial" w:cs="Arial"/>
          <w:b/>
          <w:sz w:val="16"/>
          <w:szCs w:val="16"/>
        </w:rPr>
        <w:t xml:space="preserve">as fuentes señaladas a continuación pueden ser utilizadas de manera independiente o combinada como insumo general para la variable de </w:t>
      </w:r>
      <w:r w:rsidR="00B94EB5">
        <w:rPr>
          <w:rFonts w:ascii="Arial" w:hAnsi="Arial" w:cs="Arial"/>
          <w:b/>
          <w:sz w:val="16"/>
          <w:szCs w:val="16"/>
        </w:rPr>
        <w:t>F</w:t>
      </w:r>
      <w:r w:rsidR="00B13E3F" w:rsidRPr="00B13E3F">
        <w:rPr>
          <w:rFonts w:ascii="Arial" w:hAnsi="Arial" w:cs="Arial"/>
          <w:b/>
          <w:sz w:val="16"/>
          <w:szCs w:val="16"/>
        </w:rPr>
        <w:t>actor de impacto social, según el criterio de aplicación de la entidad.</w:t>
      </w:r>
    </w:p>
    <w:p w14:paraId="6705DBCD" w14:textId="77777777" w:rsidR="00B13E3F" w:rsidRPr="00B13E3F" w:rsidRDefault="00B13E3F" w:rsidP="00B13E3F">
      <w:pPr>
        <w:tabs>
          <w:tab w:val="left" w:pos="567"/>
        </w:tabs>
        <w:contextualSpacing/>
        <w:jc w:val="both"/>
        <w:rPr>
          <w:rFonts w:ascii="Arial" w:hAnsi="Arial" w:cs="Arial"/>
          <w:b/>
          <w:sz w:val="16"/>
          <w:szCs w:val="16"/>
        </w:rPr>
      </w:pPr>
    </w:p>
    <w:p w14:paraId="1A3B5B72" w14:textId="722FD843" w:rsidR="00B94EB5" w:rsidRDefault="00B13E3F" w:rsidP="00B13E3F">
      <w:pPr>
        <w:pStyle w:val="Prrafodelista"/>
        <w:numPr>
          <w:ilvl w:val="0"/>
          <w:numId w:val="5"/>
        </w:numPr>
        <w:tabs>
          <w:tab w:val="left" w:pos="567"/>
        </w:tabs>
        <w:jc w:val="both"/>
        <w:rPr>
          <w:rFonts w:ascii="Arial" w:hAnsi="Arial" w:cs="Arial"/>
          <w:b/>
          <w:sz w:val="16"/>
          <w:szCs w:val="16"/>
        </w:rPr>
      </w:pPr>
      <w:r w:rsidRPr="00B94EB5">
        <w:rPr>
          <w:rFonts w:ascii="Arial" w:hAnsi="Arial" w:cs="Arial"/>
          <w:b/>
          <w:sz w:val="16"/>
          <w:szCs w:val="16"/>
        </w:rPr>
        <w:t>Normas de Desempeño de la IFC: 1 a 5, 7 y 8</w:t>
      </w:r>
    </w:p>
    <w:p w14:paraId="5FEF4F24" w14:textId="5C6B44CD" w:rsidR="00B13E3F" w:rsidRPr="00B94EB5" w:rsidRDefault="00B13E3F" w:rsidP="00B13E3F">
      <w:pPr>
        <w:pStyle w:val="Prrafodelista"/>
        <w:numPr>
          <w:ilvl w:val="0"/>
          <w:numId w:val="5"/>
        </w:numPr>
        <w:tabs>
          <w:tab w:val="left" w:pos="567"/>
        </w:tabs>
        <w:jc w:val="both"/>
        <w:rPr>
          <w:rFonts w:ascii="Arial" w:hAnsi="Arial" w:cs="Arial"/>
          <w:b/>
          <w:sz w:val="16"/>
          <w:szCs w:val="16"/>
        </w:rPr>
      </w:pPr>
      <w:r w:rsidRPr="00B94EB5">
        <w:rPr>
          <w:rFonts w:ascii="Arial" w:hAnsi="Arial" w:cs="Arial"/>
          <w:b/>
          <w:sz w:val="16"/>
          <w:szCs w:val="16"/>
        </w:rPr>
        <w:t>Objetivos de Desarrollo Sostenible (ODS) de la ONU: 1 a 5 y 10.</w:t>
      </w:r>
    </w:p>
    <w:p w14:paraId="7ABC0026" w14:textId="77777777" w:rsidR="00B13E3F" w:rsidRPr="00B13E3F" w:rsidRDefault="00B13E3F" w:rsidP="00B13E3F">
      <w:pPr>
        <w:tabs>
          <w:tab w:val="left" w:pos="567"/>
        </w:tabs>
        <w:contextualSpacing/>
        <w:jc w:val="both"/>
        <w:rPr>
          <w:rFonts w:ascii="Arial" w:hAnsi="Arial" w:cs="Arial"/>
          <w:b/>
          <w:sz w:val="16"/>
          <w:szCs w:val="16"/>
        </w:rPr>
      </w:pPr>
    </w:p>
    <w:p w14:paraId="195EBD79" w14:textId="534CB943" w:rsidR="00B13E3F" w:rsidRPr="00B13E3F" w:rsidRDefault="00BD1260" w:rsidP="00B13E3F">
      <w:pPr>
        <w:tabs>
          <w:tab w:val="left" w:pos="567"/>
        </w:tabs>
        <w:contextualSpacing/>
        <w:jc w:val="both"/>
        <w:rPr>
          <w:rFonts w:ascii="Arial" w:hAnsi="Arial" w:cs="Arial"/>
          <w:b/>
          <w:sz w:val="16"/>
          <w:szCs w:val="16"/>
        </w:rPr>
      </w:pPr>
      <w:r>
        <w:rPr>
          <w:rFonts w:ascii="Arial" w:hAnsi="Arial" w:cs="Arial"/>
          <w:b/>
          <w:sz w:val="16"/>
          <w:szCs w:val="16"/>
        </w:rPr>
        <w:t xml:space="preserve">2.4.6. </w:t>
      </w:r>
      <w:r w:rsidR="00B13E3F" w:rsidRPr="00B13E3F">
        <w:rPr>
          <w:rFonts w:ascii="Arial" w:hAnsi="Arial" w:cs="Arial"/>
          <w:b/>
          <w:sz w:val="16"/>
          <w:szCs w:val="16"/>
        </w:rPr>
        <w:t xml:space="preserve">Cobertura: </w:t>
      </w:r>
      <w:r w:rsidR="006811AF">
        <w:rPr>
          <w:rFonts w:ascii="Arial" w:hAnsi="Arial" w:cs="Arial"/>
          <w:b/>
          <w:sz w:val="16"/>
          <w:szCs w:val="16"/>
        </w:rPr>
        <w:t>El indicador se puede calcular a nivel de p</w:t>
      </w:r>
      <w:r w:rsidR="006811AF" w:rsidRPr="00B13E3F">
        <w:rPr>
          <w:rFonts w:ascii="Arial" w:hAnsi="Arial" w:cs="Arial"/>
          <w:b/>
          <w:sz w:val="16"/>
          <w:szCs w:val="16"/>
        </w:rPr>
        <w:t xml:space="preserve">royecto </w:t>
      </w:r>
      <w:r w:rsidR="006811AF">
        <w:rPr>
          <w:rFonts w:ascii="Arial" w:hAnsi="Arial" w:cs="Arial"/>
          <w:b/>
          <w:sz w:val="16"/>
          <w:szCs w:val="16"/>
        </w:rPr>
        <w:t>o nivel</w:t>
      </w:r>
      <w:r w:rsidR="00B13E3F" w:rsidRPr="00B13E3F">
        <w:rPr>
          <w:rFonts w:ascii="Arial" w:hAnsi="Arial" w:cs="Arial"/>
          <w:b/>
          <w:sz w:val="16"/>
          <w:szCs w:val="16"/>
        </w:rPr>
        <w:t xml:space="preserve"> </w:t>
      </w:r>
      <w:r w:rsidR="006811AF">
        <w:rPr>
          <w:rFonts w:ascii="Arial" w:hAnsi="Arial" w:cs="Arial"/>
          <w:b/>
          <w:sz w:val="16"/>
          <w:szCs w:val="16"/>
        </w:rPr>
        <w:t>n</w:t>
      </w:r>
      <w:r w:rsidR="00B13E3F" w:rsidRPr="00B13E3F">
        <w:rPr>
          <w:rFonts w:ascii="Arial" w:hAnsi="Arial" w:cs="Arial"/>
          <w:b/>
          <w:sz w:val="16"/>
          <w:szCs w:val="16"/>
        </w:rPr>
        <w:t>acional.</w:t>
      </w:r>
    </w:p>
    <w:p w14:paraId="6297949C" w14:textId="77777777" w:rsidR="00B13E3F" w:rsidRPr="00B13E3F" w:rsidRDefault="00B13E3F" w:rsidP="00B13E3F">
      <w:pPr>
        <w:tabs>
          <w:tab w:val="left" w:pos="567"/>
        </w:tabs>
        <w:contextualSpacing/>
        <w:jc w:val="both"/>
        <w:rPr>
          <w:rFonts w:ascii="Arial" w:hAnsi="Arial" w:cs="Arial"/>
          <w:b/>
          <w:sz w:val="16"/>
          <w:szCs w:val="16"/>
        </w:rPr>
      </w:pPr>
    </w:p>
    <w:p w14:paraId="0FFFA8A2" w14:textId="77777777" w:rsidR="00D40A9B" w:rsidRDefault="00D40A9B" w:rsidP="00B13E3F">
      <w:pPr>
        <w:tabs>
          <w:tab w:val="left" w:pos="567"/>
        </w:tabs>
        <w:contextualSpacing/>
        <w:jc w:val="both"/>
        <w:rPr>
          <w:rFonts w:ascii="Arial" w:hAnsi="Arial" w:cs="Arial"/>
          <w:b/>
          <w:sz w:val="16"/>
          <w:szCs w:val="16"/>
        </w:rPr>
      </w:pPr>
    </w:p>
    <w:p w14:paraId="57A327DC" w14:textId="2E626669" w:rsidR="00B13E3F" w:rsidRPr="00B13E3F" w:rsidRDefault="00B81E50" w:rsidP="00B13E3F">
      <w:pPr>
        <w:tabs>
          <w:tab w:val="left" w:pos="567"/>
        </w:tabs>
        <w:contextualSpacing/>
        <w:jc w:val="both"/>
        <w:rPr>
          <w:rFonts w:ascii="Arial" w:hAnsi="Arial" w:cs="Arial"/>
          <w:b/>
          <w:sz w:val="16"/>
          <w:szCs w:val="16"/>
        </w:rPr>
      </w:pPr>
      <w:r>
        <w:rPr>
          <w:rFonts w:ascii="Arial" w:hAnsi="Arial" w:cs="Arial"/>
          <w:b/>
          <w:sz w:val="16"/>
          <w:szCs w:val="16"/>
        </w:rPr>
        <w:t xml:space="preserve">2.5. </w:t>
      </w:r>
      <w:r w:rsidR="00B13E3F" w:rsidRPr="00B13E3F">
        <w:rPr>
          <w:rFonts w:ascii="Arial" w:hAnsi="Arial" w:cs="Arial"/>
          <w:b/>
          <w:sz w:val="16"/>
          <w:szCs w:val="16"/>
        </w:rPr>
        <w:t>Cartera o portafolio en zonas de conflicto/violencia</w:t>
      </w:r>
    </w:p>
    <w:p w14:paraId="293D156A" w14:textId="77777777" w:rsidR="00B13E3F" w:rsidRPr="00B13E3F" w:rsidRDefault="00B13E3F" w:rsidP="00B13E3F">
      <w:pPr>
        <w:tabs>
          <w:tab w:val="left" w:pos="567"/>
        </w:tabs>
        <w:contextualSpacing/>
        <w:jc w:val="both"/>
        <w:rPr>
          <w:rFonts w:ascii="Arial" w:hAnsi="Arial" w:cs="Arial"/>
          <w:b/>
          <w:sz w:val="16"/>
          <w:szCs w:val="16"/>
        </w:rPr>
      </w:pPr>
    </w:p>
    <w:p w14:paraId="276B4BF7" w14:textId="0BDF4B9A" w:rsidR="00B13E3F" w:rsidRPr="00B13E3F" w:rsidRDefault="00F559FC" w:rsidP="00B13E3F">
      <w:pPr>
        <w:tabs>
          <w:tab w:val="left" w:pos="567"/>
        </w:tabs>
        <w:contextualSpacing/>
        <w:jc w:val="both"/>
        <w:rPr>
          <w:rFonts w:ascii="Arial" w:hAnsi="Arial" w:cs="Arial"/>
          <w:b/>
          <w:sz w:val="16"/>
          <w:szCs w:val="16"/>
        </w:rPr>
      </w:pPr>
      <w:r>
        <w:rPr>
          <w:rFonts w:ascii="Arial" w:hAnsi="Arial" w:cs="Arial"/>
          <w:b/>
          <w:sz w:val="16"/>
          <w:szCs w:val="16"/>
        </w:rPr>
        <w:t xml:space="preserve">2.5.1. </w:t>
      </w:r>
      <w:r w:rsidR="00B13E3F" w:rsidRPr="00B13E3F">
        <w:rPr>
          <w:rFonts w:ascii="Arial" w:hAnsi="Arial" w:cs="Arial"/>
          <w:b/>
          <w:sz w:val="16"/>
          <w:szCs w:val="16"/>
        </w:rPr>
        <w:t xml:space="preserve">Tipo de indicador: </w:t>
      </w:r>
      <w:r w:rsidR="00B81E50">
        <w:rPr>
          <w:rFonts w:ascii="Arial" w:hAnsi="Arial" w:cs="Arial"/>
          <w:b/>
          <w:sz w:val="16"/>
          <w:szCs w:val="16"/>
        </w:rPr>
        <w:t>s</w:t>
      </w:r>
      <w:r w:rsidR="00B13E3F" w:rsidRPr="00B13E3F">
        <w:rPr>
          <w:rFonts w:ascii="Arial" w:hAnsi="Arial" w:cs="Arial"/>
          <w:b/>
          <w:sz w:val="16"/>
          <w:szCs w:val="16"/>
        </w:rPr>
        <w:t>ocial.</w:t>
      </w:r>
    </w:p>
    <w:p w14:paraId="5A4E0F02" w14:textId="77777777" w:rsidR="00B13E3F" w:rsidRPr="00B13E3F" w:rsidRDefault="00B13E3F" w:rsidP="00B13E3F">
      <w:pPr>
        <w:tabs>
          <w:tab w:val="left" w:pos="567"/>
        </w:tabs>
        <w:contextualSpacing/>
        <w:jc w:val="both"/>
        <w:rPr>
          <w:rFonts w:ascii="Arial" w:hAnsi="Arial" w:cs="Arial"/>
          <w:b/>
          <w:sz w:val="16"/>
          <w:szCs w:val="16"/>
        </w:rPr>
      </w:pPr>
    </w:p>
    <w:p w14:paraId="7FA2961E" w14:textId="3A43E315" w:rsidR="00B13E3F" w:rsidRPr="00B13E3F" w:rsidRDefault="00F559FC" w:rsidP="00B13E3F">
      <w:pPr>
        <w:tabs>
          <w:tab w:val="left" w:pos="567"/>
        </w:tabs>
        <w:contextualSpacing/>
        <w:jc w:val="both"/>
        <w:rPr>
          <w:rFonts w:ascii="Arial" w:hAnsi="Arial" w:cs="Arial"/>
          <w:b/>
          <w:sz w:val="16"/>
          <w:szCs w:val="16"/>
        </w:rPr>
      </w:pPr>
      <w:r>
        <w:rPr>
          <w:rFonts w:ascii="Arial" w:hAnsi="Arial" w:cs="Arial"/>
          <w:b/>
          <w:sz w:val="16"/>
          <w:szCs w:val="16"/>
        </w:rPr>
        <w:t xml:space="preserve">2.5.2. </w:t>
      </w:r>
      <w:r w:rsidR="00B13E3F" w:rsidRPr="00B13E3F">
        <w:rPr>
          <w:rFonts w:ascii="Arial" w:hAnsi="Arial" w:cs="Arial"/>
          <w:b/>
          <w:sz w:val="16"/>
          <w:szCs w:val="16"/>
        </w:rPr>
        <w:t xml:space="preserve">Propósito: </w:t>
      </w:r>
      <w:r w:rsidR="00F20F46">
        <w:rPr>
          <w:rFonts w:ascii="Arial" w:hAnsi="Arial" w:cs="Arial"/>
          <w:b/>
          <w:sz w:val="16"/>
          <w:szCs w:val="16"/>
        </w:rPr>
        <w:t>c</w:t>
      </w:r>
      <w:r w:rsidR="00B13E3F" w:rsidRPr="00B13E3F">
        <w:rPr>
          <w:rFonts w:ascii="Arial" w:hAnsi="Arial" w:cs="Arial"/>
          <w:b/>
          <w:sz w:val="16"/>
          <w:szCs w:val="16"/>
        </w:rPr>
        <w:t>uantifica la proporción del portafolio expuesto a municipios clasificados como de alto riesgo social debido a la presencia de conflicto armado o violencia, conforme a fuentes oficiales como la Unidad de Víctimas. Su cálculo técnico consiste en dividir el monto total financiado, invertido o asegurado en estas zonas (FIA alto riesgo social) entre el valor total del portafolio de la entidad, expresando el resultado como porcentaje. La identificación de los municipios de alto riesgo debe basarse en criterios actualizados de desplazamiento forzado, pobreza y desigualdad, permitiendo una georreferenciación precisa de la exposición FIA y una alineación con la definición de materialidad y apetito de riesgo de la entidad vigilada.</w:t>
      </w:r>
    </w:p>
    <w:p w14:paraId="1B65E74D" w14:textId="77777777" w:rsidR="00B13E3F" w:rsidRPr="00B13E3F" w:rsidRDefault="00B13E3F" w:rsidP="00B13E3F">
      <w:pPr>
        <w:tabs>
          <w:tab w:val="left" w:pos="567"/>
        </w:tabs>
        <w:contextualSpacing/>
        <w:jc w:val="both"/>
        <w:rPr>
          <w:rFonts w:ascii="Arial" w:hAnsi="Arial" w:cs="Arial"/>
          <w:b/>
          <w:sz w:val="16"/>
          <w:szCs w:val="16"/>
        </w:rPr>
      </w:pPr>
    </w:p>
    <w:p w14:paraId="2F6725C1" w14:textId="77777777" w:rsid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Desde una perspectiva de gestión, este indicador permite a las entidades vigiladas monitorear de manera diferenciada la exposición a riesgos sociales extremos, facilitando la priorización de estrategias de debida diligencia reforzada, Además, su análisis periódico habilita la toma de decisiones informadas para la continuidad y sostenibilidad de las inversiones, la gestión anticipada de contingencias sociales y la adaptación de políticas internas de crédito y/o aseguramiento. Así, el indicador contribuye a fortalecer la resiliencia del portafolio, equilibrando la rentabilidad financiera con el cumplimiento de estándares de responsabilidad social y la mitigación de impactos adversos en comunidades vulnerables.</w:t>
      </w:r>
    </w:p>
    <w:p w14:paraId="6D56F93A" w14:textId="77777777" w:rsidR="001A2421" w:rsidRDefault="001A2421" w:rsidP="00B13E3F">
      <w:pPr>
        <w:tabs>
          <w:tab w:val="left" w:pos="567"/>
        </w:tabs>
        <w:contextualSpacing/>
        <w:jc w:val="both"/>
        <w:rPr>
          <w:rFonts w:ascii="Arial" w:hAnsi="Arial" w:cs="Arial"/>
          <w:b/>
          <w:sz w:val="16"/>
          <w:szCs w:val="16"/>
        </w:rPr>
      </w:pPr>
    </w:p>
    <w:p w14:paraId="7BD9A817" w14:textId="33F6C3AC" w:rsidR="001A2421" w:rsidRPr="00B13E3F" w:rsidRDefault="001A2421" w:rsidP="00B13E3F">
      <w:pPr>
        <w:tabs>
          <w:tab w:val="left" w:pos="567"/>
        </w:tabs>
        <w:contextualSpacing/>
        <w:jc w:val="both"/>
        <w:rPr>
          <w:rFonts w:ascii="Arial" w:hAnsi="Arial" w:cs="Arial"/>
          <w:b/>
          <w:sz w:val="16"/>
          <w:szCs w:val="16"/>
        </w:rPr>
      </w:pPr>
      <w:r>
        <w:rPr>
          <w:rFonts w:ascii="Arial" w:hAnsi="Arial" w:cs="Arial"/>
          <w:b/>
          <w:sz w:val="16"/>
          <w:szCs w:val="16"/>
        </w:rPr>
        <w:t>Este indicador puede ser utilizado por los e</w:t>
      </w:r>
      <w:r w:rsidRPr="00B13E3F">
        <w:rPr>
          <w:rFonts w:ascii="Arial" w:hAnsi="Arial" w:cs="Arial"/>
          <w:b/>
          <w:sz w:val="16"/>
          <w:szCs w:val="16"/>
        </w:rPr>
        <w:t xml:space="preserve">stablecimientos de </w:t>
      </w:r>
      <w:r>
        <w:rPr>
          <w:rFonts w:ascii="Arial" w:hAnsi="Arial" w:cs="Arial"/>
          <w:b/>
          <w:sz w:val="16"/>
          <w:szCs w:val="16"/>
        </w:rPr>
        <w:t>c</w:t>
      </w:r>
      <w:r w:rsidRPr="00B13E3F">
        <w:rPr>
          <w:rFonts w:ascii="Arial" w:hAnsi="Arial" w:cs="Arial"/>
          <w:b/>
          <w:sz w:val="16"/>
          <w:szCs w:val="16"/>
        </w:rPr>
        <w:t>rédito</w:t>
      </w:r>
      <w:r>
        <w:rPr>
          <w:rFonts w:ascii="Arial" w:hAnsi="Arial" w:cs="Arial"/>
          <w:b/>
          <w:sz w:val="16"/>
          <w:szCs w:val="16"/>
        </w:rPr>
        <w:t>, las entidades a</w:t>
      </w:r>
      <w:r w:rsidRPr="00B13E3F">
        <w:rPr>
          <w:rFonts w:ascii="Arial" w:hAnsi="Arial" w:cs="Arial"/>
          <w:b/>
          <w:sz w:val="16"/>
          <w:szCs w:val="16"/>
        </w:rPr>
        <w:t>seguradoras y</w:t>
      </w:r>
      <w:r>
        <w:rPr>
          <w:rFonts w:ascii="Arial" w:hAnsi="Arial" w:cs="Arial"/>
          <w:b/>
          <w:sz w:val="16"/>
          <w:szCs w:val="16"/>
        </w:rPr>
        <w:t xml:space="preserve"> las entidades que administran recursos de terceros. </w:t>
      </w:r>
    </w:p>
    <w:p w14:paraId="23201A1B" w14:textId="77777777" w:rsidR="00B13E3F" w:rsidRPr="00B13E3F" w:rsidRDefault="00B13E3F" w:rsidP="00B13E3F">
      <w:pPr>
        <w:tabs>
          <w:tab w:val="left" w:pos="567"/>
        </w:tabs>
        <w:contextualSpacing/>
        <w:jc w:val="both"/>
        <w:rPr>
          <w:rFonts w:ascii="Arial" w:hAnsi="Arial" w:cs="Arial"/>
          <w:b/>
          <w:sz w:val="16"/>
          <w:szCs w:val="16"/>
        </w:rPr>
      </w:pPr>
    </w:p>
    <w:p w14:paraId="2196521B" w14:textId="55606275" w:rsidR="00B13E3F" w:rsidRPr="00B13E3F" w:rsidRDefault="00F559FC" w:rsidP="00B13E3F">
      <w:pPr>
        <w:tabs>
          <w:tab w:val="left" w:pos="567"/>
        </w:tabs>
        <w:contextualSpacing/>
        <w:jc w:val="both"/>
        <w:rPr>
          <w:rFonts w:ascii="Arial" w:hAnsi="Arial" w:cs="Arial"/>
          <w:b/>
          <w:sz w:val="16"/>
          <w:szCs w:val="16"/>
        </w:rPr>
      </w:pPr>
      <w:r>
        <w:rPr>
          <w:rFonts w:ascii="Arial" w:hAnsi="Arial" w:cs="Arial"/>
          <w:b/>
          <w:sz w:val="16"/>
          <w:szCs w:val="16"/>
        </w:rPr>
        <w:t xml:space="preserve">2.5.3. </w:t>
      </w:r>
      <w:r w:rsidR="00B13E3F" w:rsidRPr="00B13E3F">
        <w:rPr>
          <w:rFonts w:ascii="Arial" w:hAnsi="Arial" w:cs="Arial"/>
          <w:b/>
          <w:sz w:val="16"/>
          <w:szCs w:val="16"/>
        </w:rPr>
        <w:t>Fórmula:</w:t>
      </w:r>
    </w:p>
    <w:p w14:paraId="1ED8968D" w14:textId="77777777" w:rsidR="00B13E3F" w:rsidRPr="00B13E3F" w:rsidRDefault="00B13E3F" w:rsidP="00B13E3F">
      <w:pPr>
        <w:tabs>
          <w:tab w:val="left" w:pos="567"/>
        </w:tabs>
        <w:contextualSpacing/>
        <w:jc w:val="both"/>
        <w:rPr>
          <w:rFonts w:ascii="Arial" w:hAnsi="Arial" w:cs="Arial"/>
          <w:b/>
          <w:sz w:val="16"/>
          <w:szCs w:val="16"/>
        </w:rPr>
      </w:pPr>
    </w:p>
    <w:p w14:paraId="78CBF8A0" w14:textId="0E851B99" w:rsidR="00F834A6" w:rsidRPr="00CD5BBA" w:rsidRDefault="008D2F27" w:rsidP="00A32B0D">
      <w:pPr>
        <w:jc w:val="center"/>
        <w:rPr>
          <w:b/>
          <w:bCs/>
          <w:sz w:val="16"/>
          <w:szCs w:val="16"/>
        </w:rPr>
      </w:pPr>
      <m:oMathPara>
        <m:oMath>
          <m:r>
            <m:rPr>
              <m:sty m:val="bi"/>
            </m:rPr>
            <w:rPr>
              <w:rFonts w:ascii="Cambria Math" w:hAnsi="Cambria Math"/>
              <w:sz w:val="16"/>
              <w:szCs w:val="16"/>
            </w:rPr>
            <m:t>CPZCV=</m:t>
          </m:r>
          <m:f>
            <m:fPr>
              <m:ctrlPr>
                <w:rPr>
                  <w:rFonts w:ascii="Cambria Math" w:hAnsi="Cambria Math"/>
                  <w:b/>
                  <w:bCs/>
                  <w:sz w:val="16"/>
                  <w:szCs w:val="16"/>
                </w:rPr>
              </m:ctrlPr>
            </m:fPr>
            <m:num>
              <m:r>
                <m:rPr>
                  <m:sty m:val="bi"/>
                </m:rPr>
                <w:rPr>
                  <w:rFonts w:ascii="Cambria Math" w:hAnsi="Cambria Math"/>
                  <w:sz w:val="16"/>
                  <w:szCs w:val="16"/>
                </w:rPr>
                <m:t> </m:t>
              </m:r>
              <m:nary>
                <m:naryPr>
                  <m:chr m:val="∑"/>
                  <m:ctrlPr>
                    <w:rPr>
                      <w:rFonts w:ascii="Cambria Math" w:hAnsi="Cambria Math"/>
                      <w:b/>
                      <w:bCs/>
                      <w:sz w:val="16"/>
                      <w:szCs w:val="16"/>
                    </w:rPr>
                  </m:ctrlPr>
                </m:naryPr>
                <m:sub>
                  <m:r>
                    <m:rPr>
                      <m:sty m:val="bi"/>
                    </m:rPr>
                    <w:rPr>
                      <w:rFonts w:ascii="Cambria Math" w:hAnsi="Cambria Math"/>
                      <w:sz w:val="16"/>
                      <w:szCs w:val="16"/>
                    </w:rPr>
                    <m:t>i=1</m:t>
                  </m:r>
                </m:sub>
                <m:sup>
                  <m:r>
                    <m:rPr>
                      <m:sty m:val="bi"/>
                    </m:rPr>
                    <w:rPr>
                      <w:rFonts w:ascii="Cambria Math" w:hAnsi="Cambria Math"/>
                      <w:sz w:val="16"/>
                      <w:szCs w:val="16"/>
                    </w:rPr>
                    <m:t>n</m:t>
                  </m:r>
                </m:sup>
                <m:e>
                  <m:r>
                    <m:rPr>
                      <m:sty m:val="bi"/>
                    </m:rPr>
                    <w:rPr>
                      <w:rFonts w:ascii="Cambria Math" w:hAnsi="Cambria Math"/>
                      <w:sz w:val="16"/>
                      <w:szCs w:val="16"/>
                    </w:rPr>
                    <m:t>FIA</m:t>
                  </m:r>
                </m:e>
              </m:nary>
              <m:r>
                <m:rPr>
                  <m:sty m:val="bi"/>
                </m:rPr>
                <w:rPr>
                  <w:rFonts w:ascii="Cambria Math" w:hAnsi="Cambria Math"/>
                  <w:sz w:val="16"/>
                  <w:szCs w:val="16"/>
                </w:rPr>
                <m:t> alto riesgo social ×% Desplazamiento forzado departamento</m:t>
              </m:r>
            </m:num>
            <m:den>
              <m:r>
                <m:rPr>
                  <m:sty m:val="bi"/>
                </m:rPr>
                <w:rPr>
                  <w:rFonts w:ascii="Cambria Math" w:hAnsi="Cambria Math"/>
                  <w:sz w:val="16"/>
                  <w:szCs w:val="16"/>
                </w:rPr>
                <m:t>Valor total de referencia</m:t>
              </m:r>
            </m:den>
          </m:f>
          <m:r>
            <m:rPr>
              <m:sty m:val="bi"/>
            </m:rPr>
            <w:rPr>
              <w:rFonts w:ascii="Cambria Math" w:hAnsi="Cambria Math"/>
              <w:sz w:val="16"/>
              <w:szCs w:val="16"/>
            </w:rPr>
            <m:t>×100</m:t>
          </m:r>
        </m:oMath>
      </m:oMathPara>
    </w:p>
    <w:p w14:paraId="045972D7" w14:textId="77777777" w:rsidR="00B13E3F" w:rsidRPr="00B13E3F" w:rsidRDefault="00B13E3F" w:rsidP="00B13E3F">
      <w:pPr>
        <w:tabs>
          <w:tab w:val="left" w:pos="567"/>
        </w:tabs>
        <w:contextualSpacing/>
        <w:jc w:val="both"/>
        <w:rPr>
          <w:rFonts w:ascii="Arial" w:hAnsi="Arial" w:cs="Arial"/>
          <w:b/>
          <w:sz w:val="16"/>
          <w:szCs w:val="16"/>
        </w:rPr>
      </w:pPr>
    </w:p>
    <w:p w14:paraId="76976610" w14:textId="77777777"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El índice se presenta como porcentaje y su medición puede ser actualizada acorde con disponibilidad semestral de la fuente. Se sugiere realizar el cálculo del indicador de manera semestral.</w:t>
      </w:r>
    </w:p>
    <w:p w14:paraId="29336A5A" w14:textId="77777777" w:rsidR="00B13E3F" w:rsidRPr="00B13E3F" w:rsidRDefault="00B13E3F" w:rsidP="00B13E3F">
      <w:pPr>
        <w:tabs>
          <w:tab w:val="left" w:pos="567"/>
        </w:tabs>
        <w:contextualSpacing/>
        <w:jc w:val="both"/>
        <w:rPr>
          <w:rFonts w:ascii="Arial" w:hAnsi="Arial" w:cs="Arial"/>
          <w:b/>
          <w:sz w:val="16"/>
          <w:szCs w:val="16"/>
        </w:rPr>
      </w:pPr>
    </w:p>
    <w:p w14:paraId="3483BFF5" w14:textId="76E184AE" w:rsidR="00B13E3F" w:rsidRPr="00B13E3F" w:rsidRDefault="00F559FC" w:rsidP="00B13E3F">
      <w:pPr>
        <w:tabs>
          <w:tab w:val="left" w:pos="567"/>
        </w:tabs>
        <w:contextualSpacing/>
        <w:jc w:val="both"/>
        <w:rPr>
          <w:rFonts w:ascii="Arial" w:hAnsi="Arial" w:cs="Arial"/>
          <w:b/>
          <w:sz w:val="16"/>
          <w:szCs w:val="16"/>
        </w:rPr>
      </w:pPr>
      <w:r>
        <w:rPr>
          <w:rFonts w:ascii="Arial" w:hAnsi="Arial" w:cs="Arial"/>
          <w:b/>
          <w:sz w:val="16"/>
          <w:szCs w:val="16"/>
        </w:rPr>
        <w:t xml:space="preserve">2.5.4. </w:t>
      </w:r>
      <w:r w:rsidR="00B13E3F" w:rsidRPr="00B13E3F">
        <w:rPr>
          <w:rFonts w:ascii="Arial" w:hAnsi="Arial" w:cs="Arial"/>
          <w:b/>
          <w:sz w:val="16"/>
          <w:szCs w:val="16"/>
        </w:rPr>
        <w:t>Variables:</w:t>
      </w:r>
    </w:p>
    <w:p w14:paraId="3D67FBDC" w14:textId="77777777" w:rsidR="00B13E3F" w:rsidRPr="00B13E3F" w:rsidRDefault="00B13E3F" w:rsidP="00B13E3F">
      <w:pPr>
        <w:tabs>
          <w:tab w:val="left" w:pos="567"/>
        </w:tabs>
        <w:contextualSpacing/>
        <w:jc w:val="both"/>
        <w:rPr>
          <w:rFonts w:ascii="Arial" w:hAnsi="Arial" w:cs="Arial"/>
          <w:b/>
          <w:sz w:val="16"/>
          <w:szCs w:val="16"/>
        </w:rPr>
      </w:pPr>
    </w:p>
    <w:p w14:paraId="5936094D" w14:textId="2DC76A66" w:rsidR="00B13E3F" w:rsidRPr="00B13E3F" w:rsidRDefault="00F559FC"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 FIA alto riesgo social</m:t>
        </m:r>
      </m:oMath>
      <w:r w:rsidR="00803ED2">
        <w:rPr>
          <w:rFonts w:ascii="Arial" w:hAnsi="Arial" w:cs="Arial"/>
          <w:b/>
          <w:sz w:val="16"/>
          <w:szCs w:val="16"/>
        </w:rPr>
        <w:t>: m</w:t>
      </w:r>
      <w:r w:rsidR="00B13E3F" w:rsidRPr="00B13E3F">
        <w:rPr>
          <w:rFonts w:ascii="Arial" w:hAnsi="Arial" w:cs="Arial"/>
          <w:b/>
          <w:sz w:val="16"/>
          <w:szCs w:val="16"/>
        </w:rPr>
        <w:t>onto financiado, invertido o asegurado en sectores alta vulnerabilidad Social.</w:t>
      </w:r>
    </w:p>
    <w:p w14:paraId="090FBBC6" w14:textId="77777777" w:rsidR="00B13E3F" w:rsidRPr="00B13E3F" w:rsidRDefault="00B13E3F" w:rsidP="00B13E3F">
      <w:pPr>
        <w:tabs>
          <w:tab w:val="left" w:pos="567"/>
        </w:tabs>
        <w:contextualSpacing/>
        <w:jc w:val="both"/>
        <w:rPr>
          <w:rFonts w:ascii="Arial" w:hAnsi="Arial" w:cs="Arial"/>
          <w:b/>
          <w:sz w:val="16"/>
          <w:szCs w:val="16"/>
        </w:rPr>
      </w:pPr>
    </w:p>
    <w:p w14:paraId="3AB04139" w14:textId="77777777" w:rsidR="003A5106" w:rsidRDefault="00F559FC"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w:lastRenderedPageBreak/>
          <m:t>% Desplazamiento forzado departamento</m:t>
        </m:r>
      </m:oMath>
      <w:r w:rsidR="00B13E3F" w:rsidRPr="00803ED2">
        <w:rPr>
          <w:rFonts w:ascii="Arial" w:hAnsi="Arial" w:cs="Arial"/>
          <w:b/>
          <w:sz w:val="16"/>
          <w:szCs w:val="16"/>
        </w:rPr>
        <w:t xml:space="preserve">: </w:t>
      </w:r>
      <w:r w:rsidR="00424523">
        <w:rPr>
          <w:rFonts w:ascii="Arial" w:hAnsi="Arial" w:cs="Arial"/>
          <w:b/>
          <w:sz w:val="16"/>
          <w:szCs w:val="16"/>
        </w:rPr>
        <w:t>s</w:t>
      </w:r>
      <w:r w:rsidR="00B13E3F" w:rsidRPr="00B13E3F">
        <w:rPr>
          <w:rFonts w:ascii="Arial" w:hAnsi="Arial" w:cs="Arial"/>
          <w:b/>
          <w:sz w:val="16"/>
          <w:szCs w:val="16"/>
        </w:rPr>
        <w:t xml:space="preserve">e refiere a una métrica que cuantifica y analiza el número de personas que han sido desplazadas internamente en cada departamento de un país, debido a conflictos, violencia, persecución u otras situaciones que amenazan la seguridad y los derechos humanos. </w:t>
      </w:r>
    </w:p>
    <w:p w14:paraId="01884E87" w14:textId="77777777" w:rsidR="00B13E3F" w:rsidRPr="00B13E3F" w:rsidRDefault="00B13E3F" w:rsidP="00B13E3F">
      <w:pPr>
        <w:tabs>
          <w:tab w:val="left" w:pos="567"/>
        </w:tabs>
        <w:contextualSpacing/>
        <w:jc w:val="both"/>
        <w:rPr>
          <w:rFonts w:ascii="Arial" w:hAnsi="Arial" w:cs="Arial"/>
          <w:b/>
          <w:sz w:val="16"/>
          <w:szCs w:val="16"/>
        </w:rPr>
      </w:pPr>
    </w:p>
    <w:p w14:paraId="65394AF6" w14:textId="11AA2F92" w:rsidR="00B13E3F" w:rsidRPr="00B13E3F" w:rsidRDefault="00921672"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Valor total de referencia</m:t>
        </m:r>
      </m:oMath>
      <w:r w:rsidRPr="008D2635">
        <w:rPr>
          <w:rFonts w:ascii="Arial" w:hAnsi="Arial" w:cs="Arial"/>
          <w:b/>
          <w:bCs/>
          <w:sz w:val="16"/>
          <w:szCs w:val="16"/>
        </w:rPr>
        <w:t>:</w:t>
      </w:r>
      <w:r w:rsidR="00B13E3F" w:rsidRPr="00B13E3F">
        <w:rPr>
          <w:rFonts w:ascii="Arial" w:hAnsi="Arial" w:cs="Arial"/>
          <w:b/>
          <w:sz w:val="16"/>
          <w:szCs w:val="16"/>
        </w:rPr>
        <w:t xml:space="preserve"> </w:t>
      </w:r>
      <w:r>
        <w:rPr>
          <w:rFonts w:ascii="Arial" w:hAnsi="Arial" w:cs="Arial"/>
          <w:b/>
          <w:sz w:val="16"/>
          <w:szCs w:val="16"/>
        </w:rPr>
        <w:t>es la s</w:t>
      </w:r>
      <w:r w:rsidR="00B13E3F" w:rsidRPr="00B13E3F">
        <w:rPr>
          <w:rFonts w:ascii="Arial" w:hAnsi="Arial" w:cs="Arial"/>
          <w:b/>
          <w:sz w:val="16"/>
          <w:szCs w:val="16"/>
        </w:rPr>
        <w:t>umatoria de todas las exposiciones materiales de la entidad.</w:t>
      </w:r>
    </w:p>
    <w:p w14:paraId="61FDA8DE" w14:textId="77777777" w:rsidR="00B13E3F" w:rsidRPr="00B13E3F" w:rsidRDefault="00B13E3F" w:rsidP="00B13E3F">
      <w:pPr>
        <w:tabs>
          <w:tab w:val="left" w:pos="567"/>
        </w:tabs>
        <w:contextualSpacing/>
        <w:jc w:val="both"/>
        <w:rPr>
          <w:rFonts w:ascii="Arial" w:hAnsi="Arial" w:cs="Arial"/>
          <w:b/>
          <w:sz w:val="16"/>
          <w:szCs w:val="16"/>
        </w:rPr>
      </w:pPr>
    </w:p>
    <w:p w14:paraId="5B44285C" w14:textId="3DDE73E4" w:rsidR="00B13E3F" w:rsidRPr="00B13E3F" w:rsidRDefault="007569CD" w:rsidP="00B13E3F">
      <w:pPr>
        <w:tabs>
          <w:tab w:val="left" w:pos="567"/>
        </w:tabs>
        <w:contextualSpacing/>
        <w:jc w:val="both"/>
        <w:rPr>
          <w:rFonts w:ascii="Arial" w:hAnsi="Arial" w:cs="Arial"/>
          <w:b/>
          <w:sz w:val="16"/>
          <w:szCs w:val="16"/>
        </w:rPr>
      </w:pPr>
      <w:r>
        <w:rPr>
          <w:rFonts w:ascii="Arial" w:hAnsi="Arial" w:cs="Arial"/>
          <w:b/>
          <w:sz w:val="16"/>
          <w:szCs w:val="16"/>
        </w:rPr>
        <w:t>2.5.5.</w:t>
      </w:r>
      <w:r w:rsidR="00380E1E">
        <w:rPr>
          <w:rFonts w:ascii="Arial" w:hAnsi="Arial" w:cs="Arial"/>
          <w:b/>
          <w:sz w:val="16"/>
          <w:szCs w:val="16"/>
        </w:rPr>
        <w:t xml:space="preserve"> </w:t>
      </w:r>
      <w:r w:rsidR="00B13E3F" w:rsidRPr="00B13E3F">
        <w:rPr>
          <w:rFonts w:ascii="Arial" w:hAnsi="Arial" w:cs="Arial"/>
          <w:b/>
          <w:sz w:val="16"/>
          <w:szCs w:val="16"/>
        </w:rPr>
        <w:t xml:space="preserve">Fuente: </w:t>
      </w:r>
    </w:p>
    <w:p w14:paraId="60CD37D9" w14:textId="77777777" w:rsidR="00B13E3F" w:rsidRPr="00B13E3F" w:rsidRDefault="00B13E3F" w:rsidP="00B13E3F">
      <w:pPr>
        <w:tabs>
          <w:tab w:val="left" w:pos="567"/>
        </w:tabs>
        <w:contextualSpacing/>
        <w:jc w:val="both"/>
        <w:rPr>
          <w:rFonts w:ascii="Arial" w:hAnsi="Arial" w:cs="Arial"/>
          <w:b/>
          <w:sz w:val="16"/>
          <w:szCs w:val="16"/>
        </w:rPr>
      </w:pPr>
    </w:p>
    <w:p w14:paraId="3BE46549" w14:textId="7198E553"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Unidad de Víctimas:  </w:t>
      </w:r>
      <w:r w:rsidR="002F0FE4">
        <w:rPr>
          <w:rFonts w:ascii="Arial" w:hAnsi="Arial" w:cs="Arial"/>
          <w:b/>
          <w:sz w:val="16"/>
          <w:szCs w:val="16"/>
        </w:rPr>
        <w:t>s</w:t>
      </w:r>
      <w:r w:rsidRPr="00B13E3F">
        <w:rPr>
          <w:rFonts w:ascii="Arial" w:hAnsi="Arial" w:cs="Arial"/>
          <w:b/>
          <w:sz w:val="16"/>
          <w:szCs w:val="16"/>
        </w:rPr>
        <w:t>e debe consultar el informe de “Desplazamiento Forzado en Colombia” para el semestre del año más reciente. Dirigirse al numeral referente al capítulo “Desplazamiento Forzado Individual” y luego buscar la sección de “Departamentos de ocurrencia”. Para el cálculo de las variables se debe tomar la información de los departamentos para los cuales su índice se encuentra en la categoría sugerida en “Porcentaje de los Departamentos con tasa de Desplazamiento Forzado”, de acuerdo con los valores señalados a continuación:</w:t>
      </w:r>
    </w:p>
    <w:p w14:paraId="5E8B8BE7" w14:textId="77777777" w:rsidR="00E60BAE" w:rsidRDefault="00E60BAE" w:rsidP="00B13E3F">
      <w:pPr>
        <w:tabs>
          <w:tab w:val="left" w:pos="567"/>
        </w:tabs>
        <w:contextualSpacing/>
        <w:jc w:val="both"/>
        <w:rPr>
          <w:rFonts w:ascii="Arial" w:hAnsi="Arial" w:cs="Arial"/>
          <w:b/>
          <w:sz w:val="16"/>
          <w:szCs w:val="16"/>
        </w:rPr>
      </w:pPr>
    </w:p>
    <w:p w14:paraId="40E8151B" w14:textId="006A343C" w:rsidR="00E60BAE" w:rsidRDefault="00B13E3F" w:rsidP="00B13E3F">
      <w:pPr>
        <w:pStyle w:val="Prrafodelista"/>
        <w:numPr>
          <w:ilvl w:val="0"/>
          <w:numId w:val="6"/>
        </w:numPr>
        <w:tabs>
          <w:tab w:val="left" w:pos="567"/>
        </w:tabs>
        <w:jc w:val="both"/>
        <w:rPr>
          <w:rFonts w:ascii="Arial" w:hAnsi="Arial" w:cs="Arial"/>
          <w:b/>
          <w:sz w:val="16"/>
          <w:szCs w:val="16"/>
        </w:rPr>
      </w:pPr>
      <w:r w:rsidRPr="00E60BAE">
        <w:rPr>
          <w:rFonts w:ascii="Arial" w:hAnsi="Arial" w:cs="Arial"/>
          <w:b/>
          <w:sz w:val="16"/>
          <w:szCs w:val="16"/>
        </w:rPr>
        <w:t xml:space="preserve">Alto: </w:t>
      </w:r>
      <w:r w:rsidR="00E60BAE">
        <w:rPr>
          <w:rFonts w:ascii="Arial" w:hAnsi="Arial" w:cs="Arial"/>
          <w:b/>
          <w:sz w:val="16"/>
          <w:szCs w:val="16"/>
        </w:rPr>
        <w:tab/>
      </w:r>
      <w:r w:rsidRPr="00E60BAE">
        <w:rPr>
          <w:rFonts w:ascii="Arial" w:hAnsi="Arial" w:cs="Arial"/>
          <w:b/>
          <w:sz w:val="16"/>
          <w:szCs w:val="16"/>
        </w:rPr>
        <w:t>&gt;10 %</w:t>
      </w:r>
    </w:p>
    <w:p w14:paraId="494C598B" w14:textId="05628DC9" w:rsidR="00E60BAE" w:rsidRDefault="00B13E3F" w:rsidP="00B13E3F">
      <w:pPr>
        <w:pStyle w:val="Prrafodelista"/>
        <w:numPr>
          <w:ilvl w:val="0"/>
          <w:numId w:val="6"/>
        </w:numPr>
        <w:tabs>
          <w:tab w:val="left" w:pos="567"/>
        </w:tabs>
        <w:jc w:val="both"/>
        <w:rPr>
          <w:rFonts w:ascii="Arial" w:hAnsi="Arial" w:cs="Arial"/>
          <w:b/>
          <w:sz w:val="16"/>
          <w:szCs w:val="16"/>
        </w:rPr>
      </w:pPr>
      <w:r w:rsidRPr="00E60BAE">
        <w:rPr>
          <w:rFonts w:ascii="Arial" w:hAnsi="Arial" w:cs="Arial"/>
          <w:b/>
          <w:sz w:val="16"/>
          <w:szCs w:val="16"/>
        </w:rPr>
        <w:t xml:space="preserve">Medio </w:t>
      </w:r>
      <w:r w:rsidR="00E60BAE">
        <w:rPr>
          <w:rFonts w:ascii="Arial" w:hAnsi="Arial" w:cs="Arial"/>
          <w:b/>
          <w:sz w:val="16"/>
          <w:szCs w:val="16"/>
        </w:rPr>
        <w:tab/>
      </w:r>
      <w:r w:rsidRPr="00E60BAE">
        <w:rPr>
          <w:rFonts w:ascii="Arial" w:hAnsi="Arial" w:cs="Arial"/>
          <w:b/>
          <w:sz w:val="16"/>
          <w:szCs w:val="16"/>
        </w:rPr>
        <w:t>≥ 10 %</w:t>
      </w:r>
    </w:p>
    <w:p w14:paraId="14B81E64" w14:textId="30E5FD09" w:rsidR="00B13E3F" w:rsidRPr="00E60BAE" w:rsidRDefault="00B13E3F" w:rsidP="00B13E3F">
      <w:pPr>
        <w:pStyle w:val="Prrafodelista"/>
        <w:numPr>
          <w:ilvl w:val="0"/>
          <w:numId w:val="6"/>
        </w:numPr>
        <w:tabs>
          <w:tab w:val="left" w:pos="567"/>
        </w:tabs>
        <w:jc w:val="both"/>
        <w:rPr>
          <w:rFonts w:ascii="Arial" w:hAnsi="Arial" w:cs="Arial"/>
          <w:b/>
          <w:sz w:val="16"/>
          <w:szCs w:val="16"/>
        </w:rPr>
      </w:pPr>
      <w:r w:rsidRPr="00E60BAE">
        <w:rPr>
          <w:rFonts w:ascii="Arial" w:hAnsi="Arial" w:cs="Arial"/>
          <w:b/>
          <w:sz w:val="16"/>
          <w:szCs w:val="16"/>
        </w:rPr>
        <w:t xml:space="preserve">Bajo: </w:t>
      </w:r>
      <w:r w:rsidR="00E60BAE">
        <w:rPr>
          <w:rFonts w:ascii="Arial" w:hAnsi="Arial" w:cs="Arial"/>
          <w:b/>
          <w:sz w:val="16"/>
          <w:szCs w:val="16"/>
        </w:rPr>
        <w:tab/>
      </w:r>
      <w:r w:rsidRPr="00E60BAE">
        <w:rPr>
          <w:rFonts w:ascii="Arial" w:hAnsi="Arial" w:cs="Arial"/>
          <w:b/>
          <w:sz w:val="16"/>
          <w:szCs w:val="16"/>
        </w:rPr>
        <w:t>&lt;= 10 %</w:t>
      </w:r>
    </w:p>
    <w:p w14:paraId="7672AB9B" w14:textId="77777777" w:rsidR="00B13E3F" w:rsidRPr="00B13E3F" w:rsidRDefault="00B13E3F" w:rsidP="00B13E3F">
      <w:pPr>
        <w:tabs>
          <w:tab w:val="left" w:pos="567"/>
        </w:tabs>
        <w:contextualSpacing/>
        <w:jc w:val="both"/>
        <w:rPr>
          <w:rFonts w:ascii="Arial" w:hAnsi="Arial" w:cs="Arial"/>
          <w:b/>
          <w:sz w:val="16"/>
          <w:szCs w:val="16"/>
        </w:rPr>
      </w:pPr>
    </w:p>
    <w:p w14:paraId="28A60A5D" w14:textId="2B688E84" w:rsidR="00E62B69" w:rsidRDefault="00E62B69" w:rsidP="00B13E3F">
      <w:pPr>
        <w:tabs>
          <w:tab w:val="left" w:pos="567"/>
        </w:tabs>
        <w:contextualSpacing/>
        <w:jc w:val="both"/>
        <w:rPr>
          <w:rFonts w:ascii="Arial" w:hAnsi="Arial" w:cs="Arial"/>
          <w:b/>
          <w:sz w:val="16"/>
          <w:szCs w:val="16"/>
        </w:rPr>
      </w:pPr>
      <w:r>
        <w:rPr>
          <w:rFonts w:ascii="Arial" w:hAnsi="Arial" w:cs="Arial"/>
          <w:b/>
          <w:sz w:val="16"/>
          <w:szCs w:val="16"/>
        </w:rPr>
        <w:t xml:space="preserve">2.5.6. </w:t>
      </w:r>
      <w:r w:rsidR="00B13E3F" w:rsidRPr="00B13E3F">
        <w:rPr>
          <w:rFonts w:ascii="Arial" w:hAnsi="Arial" w:cs="Arial"/>
          <w:b/>
          <w:sz w:val="16"/>
          <w:szCs w:val="16"/>
        </w:rPr>
        <w:t>Cobertura: Departamental.</w:t>
      </w:r>
    </w:p>
    <w:p w14:paraId="5E2EA794" w14:textId="77777777" w:rsidR="00E62B69" w:rsidRPr="00B13E3F" w:rsidRDefault="00E62B69" w:rsidP="00B13E3F">
      <w:pPr>
        <w:tabs>
          <w:tab w:val="left" w:pos="567"/>
        </w:tabs>
        <w:contextualSpacing/>
        <w:jc w:val="both"/>
        <w:rPr>
          <w:rFonts w:ascii="Arial" w:hAnsi="Arial" w:cs="Arial"/>
          <w:b/>
          <w:sz w:val="16"/>
          <w:szCs w:val="16"/>
        </w:rPr>
      </w:pPr>
    </w:p>
    <w:p w14:paraId="1BAEFEF5" w14:textId="77777777" w:rsidR="00D40A9B" w:rsidRDefault="00D40A9B" w:rsidP="00B13E3F">
      <w:pPr>
        <w:tabs>
          <w:tab w:val="left" w:pos="567"/>
        </w:tabs>
        <w:contextualSpacing/>
        <w:jc w:val="both"/>
        <w:rPr>
          <w:rFonts w:ascii="Arial" w:hAnsi="Arial" w:cs="Arial"/>
          <w:b/>
          <w:sz w:val="16"/>
          <w:szCs w:val="16"/>
        </w:rPr>
      </w:pPr>
    </w:p>
    <w:p w14:paraId="1B024AB2" w14:textId="5DF50433" w:rsidR="00B13E3F" w:rsidRPr="00B13E3F" w:rsidRDefault="007B67BE" w:rsidP="00B13E3F">
      <w:pPr>
        <w:tabs>
          <w:tab w:val="left" w:pos="567"/>
        </w:tabs>
        <w:contextualSpacing/>
        <w:jc w:val="both"/>
        <w:rPr>
          <w:rFonts w:ascii="Arial" w:hAnsi="Arial" w:cs="Arial"/>
          <w:b/>
          <w:sz w:val="16"/>
          <w:szCs w:val="16"/>
        </w:rPr>
      </w:pPr>
      <w:r>
        <w:rPr>
          <w:rFonts w:ascii="Arial" w:hAnsi="Arial" w:cs="Arial"/>
          <w:b/>
          <w:sz w:val="16"/>
          <w:szCs w:val="16"/>
        </w:rPr>
        <w:t xml:space="preserve">2.6. </w:t>
      </w:r>
      <w:r w:rsidR="00B13E3F" w:rsidRPr="00B13E3F">
        <w:rPr>
          <w:rFonts w:ascii="Arial" w:hAnsi="Arial" w:cs="Arial"/>
          <w:b/>
          <w:sz w:val="16"/>
          <w:szCs w:val="16"/>
        </w:rPr>
        <w:t>Indicador Compuesto de Riesgo de Financiación Climática (IC-RFC)</w:t>
      </w:r>
    </w:p>
    <w:p w14:paraId="41F84DAE" w14:textId="77777777" w:rsidR="00B13E3F" w:rsidRPr="00B13E3F" w:rsidRDefault="00B13E3F" w:rsidP="00B13E3F">
      <w:pPr>
        <w:tabs>
          <w:tab w:val="left" w:pos="567"/>
        </w:tabs>
        <w:contextualSpacing/>
        <w:jc w:val="both"/>
        <w:rPr>
          <w:rFonts w:ascii="Arial" w:hAnsi="Arial" w:cs="Arial"/>
          <w:b/>
          <w:sz w:val="16"/>
          <w:szCs w:val="16"/>
        </w:rPr>
      </w:pPr>
    </w:p>
    <w:p w14:paraId="6DC8DCD5" w14:textId="09A68685" w:rsidR="00B13E3F" w:rsidRPr="00B13E3F" w:rsidRDefault="008879C3" w:rsidP="00B13E3F">
      <w:pPr>
        <w:tabs>
          <w:tab w:val="left" w:pos="567"/>
        </w:tabs>
        <w:contextualSpacing/>
        <w:jc w:val="both"/>
        <w:rPr>
          <w:rFonts w:ascii="Arial" w:hAnsi="Arial" w:cs="Arial"/>
          <w:b/>
          <w:sz w:val="16"/>
          <w:szCs w:val="16"/>
        </w:rPr>
      </w:pPr>
      <w:r>
        <w:rPr>
          <w:rFonts w:ascii="Arial" w:hAnsi="Arial" w:cs="Arial"/>
          <w:b/>
          <w:sz w:val="16"/>
          <w:szCs w:val="16"/>
        </w:rPr>
        <w:t xml:space="preserve">2.6.1. </w:t>
      </w:r>
      <w:r w:rsidR="00B13E3F" w:rsidRPr="00B13E3F">
        <w:rPr>
          <w:rFonts w:ascii="Arial" w:hAnsi="Arial" w:cs="Arial"/>
          <w:b/>
          <w:sz w:val="16"/>
          <w:szCs w:val="16"/>
        </w:rPr>
        <w:t xml:space="preserve">Tipo de indicador: </w:t>
      </w:r>
      <w:r>
        <w:rPr>
          <w:rFonts w:ascii="Arial" w:hAnsi="Arial" w:cs="Arial"/>
          <w:b/>
          <w:sz w:val="16"/>
          <w:szCs w:val="16"/>
        </w:rPr>
        <w:t>r</w:t>
      </w:r>
      <w:r w:rsidR="00B13E3F" w:rsidRPr="00B13E3F">
        <w:rPr>
          <w:rFonts w:ascii="Arial" w:hAnsi="Arial" w:cs="Arial"/>
          <w:b/>
          <w:sz w:val="16"/>
          <w:szCs w:val="16"/>
        </w:rPr>
        <w:t>iesgo compuesto / estratégico</w:t>
      </w:r>
    </w:p>
    <w:p w14:paraId="4DCCC24D" w14:textId="77777777" w:rsidR="00B13E3F" w:rsidRPr="00B13E3F" w:rsidRDefault="00B13E3F" w:rsidP="00B13E3F">
      <w:pPr>
        <w:tabs>
          <w:tab w:val="left" w:pos="567"/>
        </w:tabs>
        <w:contextualSpacing/>
        <w:jc w:val="both"/>
        <w:rPr>
          <w:rFonts w:ascii="Arial" w:hAnsi="Arial" w:cs="Arial"/>
          <w:b/>
          <w:sz w:val="16"/>
          <w:szCs w:val="16"/>
        </w:rPr>
      </w:pPr>
    </w:p>
    <w:p w14:paraId="4346E59B" w14:textId="1BADEE5B" w:rsidR="00B13E3F" w:rsidRPr="00B13E3F" w:rsidRDefault="008879C3" w:rsidP="00B13E3F">
      <w:pPr>
        <w:tabs>
          <w:tab w:val="left" w:pos="567"/>
        </w:tabs>
        <w:contextualSpacing/>
        <w:jc w:val="both"/>
        <w:rPr>
          <w:rFonts w:ascii="Arial" w:hAnsi="Arial" w:cs="Arial"/>
          <w:b/>
          <w:sz w:val="16"/>
          <w:szCs w:val="16"/>
        </w:rPr>
      </w:pPr>
      <w:r>
        <w:rPr>
          <w:rFonts w:ascii="Arial" w:hAnsi="Arial" w:cs="Arial"/>
          <w:b/>
          <w:sz w:val="16"/>
          <w:szCs w:val="16"/>
        </w:rPr>
        <w:t xml:space="preserve">2.6.2. </w:t>
      </w:r>
      <w:r w:rsidR="00B13E3F" w:rsidRPr="00B13E3F">
        <w:rPr>
          <w:rFonts w:ascii="Arial" w:hAnsi="Arial" w:cs="Arial"/>
          <w:b/>
          <w:sz w:val="16"/>
          <w:szCs w:val="16"/>
        </w:rPr>
        <w:t xml:space="preserve">Propósito: </w:t>
      </w:r>
      <w:r>
        <w:rPr>
          <w:rFonts w:ascii="Arial" w:hAnsi="Arial" w:cs="Arial"/>
          <w:b/>
          <w:sz w:val="16"/>
          <w:szCs w:val="16"/>
        </w:rPr>
        <w:t>e</w:t>
      </w:r>
      <w:r w:rsidR="00B13E3F" w:rsidRPr="00B13E3F">
        <w:rPr>
          <w:rFonts w:ascii="Arial" w:hAnsi="Arial" w:cs="Arial"/>
          <w:b/>
          <w:sz w:val="16"/>
          <w:szCs w:val="16"/>
        </w:rPr>
        <w:t>valuar el riesgo estratégico y financiero asociado a la estructuración de proyectos con financiación combinada y acceso a fondos climáticos. Este indicador no busca reflejar el riesgo financiero individual de una operación, sino la capacidad institucional de reducir su exposición estructural mediante fondeo climático.</w:t>
      </w:r>
    </w:p>
    <w:p w14:paraId="11E338CA" w14:textId="77777777" w:rsidR="00B13E3F" w:rsidRPr="00B13E3F" w:rsidRDefault="00B13E3F" w:rsidP="00B13E3F">
      <w:pPr>
        <w:tabs>
          <w:tab w:val="left" w:pos="567"/>
        </w:tabs>
        <w:contextualSpacing/>
        <w:jc w:val="both"/>
        <w:rPr>
          <w:rFonts w:ascii="Arial" w:hAnsi="Arial" w:cs="Arial"/>
          <w:b/>
          <w:sz w:val="16"/>
          <w:szCs w:val="16"/>
        </w:rPr>
      </w:pPr>
    </w:p>
    <w:p w14:paraId="550649D0" w14:textId="77777777"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 xml:space="preserve">Puede mantenerse como indicador agregado, alimentado por proyectos estructurados con </w:t>
      </w:r>
      <w:r w:rsidRPr="00D40A9B">
        <w:rPr>
          <w:rFonts w:ascii="Arial" w:hAnsi="Arial" w:cs="Arial"/>
          <w:b/>
          <w:i/>
          <w:iCs/>
          <w:sz w:val="16"/>
          <w:szCs w:val="16"/>
        </w:rPr>
        <w:t>blended finance</w:t>
      </w:r>
      <w:r w:rsidRPr="00B13E3F">
        <w:rPr>
          <w:rFonts w:ascii="Arial" w:hAnsi="Arial" w:cs="Arial"/>
          <w:b/>
          <w:sz w:val="16"/>
          <w:szCs w:val="16"/>
        </w:rPr>
        <w:t>, usando fuentes disponibles en la entidad vigilada (estructuración, tesorería, etc.).</w:t>
      </w:r>
    </w:p>
    <w:p w14:paraId="6D4AA5BF" w14:textId="77777777" w:rsidR="00B13E3F" w:rsidRDefault="00B13E3F" w:rsidP="00B13E3F">
      <w:pPr>
        <w:tabs>
          <w:tab w:val="left" w:pos="567"/>
        </w:tabs>
        <w:contextualSpacing/>
        <w:jc w:val="both"/>
        <w:rPr>
          <w:rFonts w:ascii="Arial" w:hAnsi="Arial" w:cs="Arial"/>
          <w:b/>
          <w:sz w:val="16"/>
          <w:szCs w:val="16"/>
        </w:rPr>
      </w:pPr>
    </w:p>
    <w:p w14:paraId="072E75C1" w14:textId="77777777" w:rsidR="005D2BD7" w:rsidRPr="00B13E3F" w:rsidRDefault="005D2BD7" w:rsidP="005D2BD7">
      <w:pPr>
        <w:tabs>
          <w:tab w:val="left" w:pos="567"/>
        </w:tabs>
        <w:contextualSpacing/>
        <w:jc w:val="both"/>
        <w:rPr>
          <w:rFonts w:ascii="Arial" w:hAnsi="Arial" w:cs="Arial"/>
          <w:b/>
          <w:sz w:val="16"/>
          <w:szCs w:val="16"/>
        </w:rPr>
      </w:pPr>
      <w:r>
        <w:rPr>
          <w:rFonts w:ascii="Arial" w:hAnsi="Arial" w:cs="Arial"/>
          <w:b/>
          <w:sz w:val="16"/>
          <w:szCs w:val="16"/>
        </w:rPr>
        <w:t>Este indicador puede ser utilizado por los e</w:t>
      </w:r>
      <w:r w:rsidRPr="00B13E3F">
        <w:rPr>
          <w:rFonts w:ascii="Arial" w:hAnsi="Arial" w:cs="Arial"/>
          <w:b/>
          <w:sz w:val="16"/>
          <w:szCs w:val="16"/>
        </w:rPr>
        <w:t xml:space="preserve">stablecimientos de </w:t>
      </w:r>
      <w:r>
        <w:rPr>
          <w:rFonts w:ascii="Arial" w:hAnsi="Arial" w:cs="Arial"/>
          <w:b/>
          <w:sz w:val="16"/>
          <w:szCs w:val="16"/>
        </w:rPr>
        <w:t>c</w:t>
      </w:r>
      <w:r w:rsidRPr="00B13E3F">
        <w:rPr>
          <w:rFonts w:ascii="Arial" w:hAnsi="Arial" w:cs="Arial"/>
          <w:b/>
          <w:sz w:val="16"/>
          <w:szCs w:val="16"/>
        </w:rPr>
        <w:t>rédito</w:t>
      </w:r>
      <w:r>
        <w:rPr>
          <w:rFonts w:ascii="Arial" w:hAnsi="Arial" w:cs="Arial"/>
          <w:b/>
          <w:sz w:val="16"/>
          <w:szCs w:val="16"/>
        </w:rPr>
        <w:t>, las entidades a</w:t>
      </w:r>
      <w:r w:rsidRPr="00B13E3F">
        <w:rPr>
          <w:rFonts w:ascii="Arial" w:hAnsi="Arial" w:cs="Arial"/>
          <w:b/>
          <w:sz w:val="16"/>
          <w:szCs w:val="16"/>
        </w:rPr>
        <w:t>seguradoras y</w:t>
      </w:r>
      <w:r>
        <w:rPr>
          <w:rFonts w:ascii="Arial" w:hAnsi="Arial" w:cs="Arial"/>
          <w:b/>
          <w:sz w:val="16"/>
          <w:szCs w:val="16"/>
        </w:rPr>
        <w:t xml:space="preserve"> las entidades que administran recursos de terceros. </w:t>
      </w:r>
    </w:p>
    <w:p w14:paraId="1C085841" w14:textId="77777777" w:rsidR="005D2BD7" w:rsidRPr="00B13E3F" w:rsidRDefault="005D2BD7" w:rsidP="00B13E3F">
      <w:pPr>
        <w:tabs>
          <w:tab w:val="left" w:pos="567"/>
        </w:tabs>
        <w:contextualSpacing/>
        <w:jc w:val="both"/>
        <w:rPr>
          <w:rFonts w:ascii="Arial" w:hAnsi="Arial" w:cs="Arial"/>
          <w:b/>
          <w:sz w:val="16"/>
          <w:szCs w:val="16"/>
        </w:rPr>
      </w:pPr>
    </w:p>
    <w:p w14:paraId="63C593E2" w14:textId="60166CB2" w:rsidR="00B13E3F" w:rsidRPr="00B13E3F" w:rsidRDefault="008879C3" w:rsidP="00B13E3F">
      <w:pPr>
        <w:tabs>
          <w:tab w:val="left" w:pos="567"/>
        </w:tabs>
        <w:contextualSpacing/>
        <w:jc w:val="both"/>
        <w:rPr>
          <w:rFonts w:ascii="Arial" w:hAnsi="Arial" w:cs="Arial"/>
          <w:b/>
          <w:sz w:val="16"/>
          <w:szCs w:val="16"/>
        </w:rPr>
      </w:pPr>
      <w:r>
        <w:rPr>
          <w:rFonts w:ascii="Arial" w:hAnsi="Arial" w:cs="Arial"/>
          <w:b/>
          <w:sz w:val="16"/>
          <w:szCs w:val="16"/>
        </w:rPr>
        <w:t xml:space="preserve">2.6.3. </w:t>
      </w:r>
      <w:r w:rsidR="00B13E3F" w:rsidRPr="00B13E3F">
        <w:rPr>
          <w:rFonts w:ascii="Arial" w:hAnsi="Arial" w:cs="Arial"/>
          <w:b/>
          <w:sz w:val="16"/>
          <w:szCs w:val="16"/>
        </w:rPr>
        <w:t xml:space="preserve">Fórmula: </w:t>
      </w:r>
    </w:p>
    <w:p w14:paraId="2DC73CEA" w14:textId="77777777" w:rsidR="00B13E3F" w:rsidRPr="00B13E3F" w:rsidRDefault="00B13E3F" w:rsidP="00B13E3F">
      <w:pPr>
        <w:tabs>
          <w:tab w:val="left" w:pos="567"/>
        </w:tabs>
        <w:contextualSpacing/>
        <w:jc w:val="both"/>
        <w:rPr>
          <w:rFonts w:ascii="Arial" w:hAnsi="Arial" w:cs="Arial"/>
          <w:b/>
          <w:sz w:val="16"/>
          <w:szCs w:val="16"/>
        </w:rPr>
      </w:pPr>
    </w:p>
    <w:p w14:paraId="61D8395C" w14:textId="0B2E81C2" w:rsidR="00B13E3F" w:rsidRPr="002B58AE" w:rsidRDefault="002B58AE" w:rsidP="00B13E3F">
      <w:pPr>
        <w:tabs>
          <w:tab w:val="left" w:pos="567"/>
        </w:tabs>
        <w:contextualSpacing/>
        <w:jc w:val="both"/>
        <w:rPr>
          <w:rFonts w:ascii="Arial" w:hAnsi="Arial" w:cs="Arial"/>
          <w:b/>
          <w:bCs/>
          <w:sz w:val="16"/>
          <w:szCs w:val="16"/>
        </w:rPr>
      </w:pPr>
      <m:oMathPara>
        <m:oMath>
          <m:r>
            <m:rPr>
              <m:sty m:val="b"/>
            </m:rPr>
            <w:rPr>
              <w:rFonts w:ascii="Cambria Math" w:hAnsi="Cambria Math" w:cs="Cambria Math"/>
              <w:sz w:val="16"/>
              <w:szCs w:val="16"/>
            </w:rPr>
            <m:t>IC-RFC=</m:t>
          </m:r>
          <m:f>
            <m:fPr>
              <m:ctrlPr>
                <w:rPr>
                  <w:rFonts w:ascii="Cambria Math" w:hAnsi="Cambria Math"/>
                  <w:b/>
                  <w:bCs/>
                  <w:sz w:val="16"/>
                  <w:szCs w:val="16"/>
                </w:rPr>
              </m:ctrlPr>
            </m:fPr>
            <m:num>
              <m:nary>
                <m:naryPr>
                  <m:chr m:val="∑"/>
                  <m:limLoc m:val="undOvr"/>
                  <m:subHide m:val="1"/>
                  <m:supHide m:val="1"/>
                  <m:ctrlPr>
                    <w:rPr>
                      <w:rFonts w:ascii="Cambria Math" w:hAnsi="Cambria Math" w:cs="Cambria Math"/>
                      <w:b/>
                      <w:bCs/>
                      <w:sz w:val="16"/>
                      <w:szCs w:val="16"/>
                    </w:rPr>
                  </m:ctrlPr>
                </m:naryPr>
                <m:sub/>
                <m:sup/>
                <m:e>
                  <m:r>
                    <m:rPr>
                      <m:sty m:val="bi"/>
                    </m:rPr>
                    <w:rPr>
                      <w:rFonts w:ascii="Cambria Math" w:hAnsi="Cambria Math" w:cs="Cambria Math"/>
                      <w:sz w:val="16"/>
                      <w:szCs w:val="16"/>
                    </w:rPr>
                    <m:t>Monto con financiación combinada</m:t>
                  </m:r>
                </m:e>
              </m:nary>
            </m:num>
            <m:den>
              <m:nary>
                <m:naryPr>
                  <m:chr m:val="∑"/>
                  <m:limLoc m:val="undOvr"/>
                  <m:subHide m:val="1"/>
                  <m:supHide m:val="1"/>
                  <m:ctrlPr>
                    <w:rPr>
                      <w:rFonts w:ascii="Cambria Math" w:hAnsi="Cambria Math" w:cs="Cambria Math"/>
                      <w:b/>
                      <w:bCs/>
                      <w:sz w:val="16"/>
                      <w:szCs w:val="16"/>
                    </w:rPr>
                  </m:ctrlPr>
                </m:naryPr>
                <m:sub/>
                <m:sup/>
                <m:e>
                  <m:r>
                    <m:rPr>
                      <m:sty m:val="bi"/>
                    </m:rPr>
                    <w:rPr>
                      <w:rFonts w:ascii="Cambria Math" w:hAnsi="Cambria Math" w:cs="Cambria Math"/>
                      <w:sz w:val="16"/>
                      <w:szCs w:val="16"/>
                    </w:rPr>
                    <m:t>Monto total del financiamiento a proyectos climáticos</m:t>
                  </m:r>
                </m:e>
              </m:nary>
            </m:den>
          </m:f>
          <m:r>
            <m:rPr>
              <m:sty m:val="bi"/>
            </m:rPr>
            <w:rPr>
              <w:rFonts w:ascii="Cambria Math" w:hAnsi="Cambria Math"/>
              <w:sz w:val="16"/>
              <w:szCs w:val="16"/>
            </w:rPr>
            <m:t>* W * R * 100</m:t>
          </m:r>
        </m:oMath>
      </m:oMathPara>
    </w:p>
    <w:p w14:paraId="3F1D6F6A" w14:textId="77777777" w:rsidR="00B13E3F" w:rsidRPr="00B13E3F" w:rsidRDefault="00B13E3F" w:rsidP="00B13E3F">
      <w:pPr>
        <w:tabs>
          <w:tab w:val="left" w:pos="567"/>
        </w:tabs>
        <w:contextualSpacing/>
        <w:jc w:val="both"/>
        <w:rPr>
          <w:rFonts w:ascii="Arial" w:hAnsi="Arial" w:cs="Arial"/>
          <w:b/>
          <w:sz w:val="16"/>
          <w:szCs w:val="16"/>
        </w:rPr>
      </w:pPr>
    </w:p>
    <w:p w14:paraId="67480C0C" w14:textId="77777777"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El índice compuesto se presenta como un valor numérico y su medición puede ser anual, o en caso coyuntural se podrá realizar a consideración de la entidad.</w:t>
      </w:r>
    </w:p>
    <w:p w14:paraId="67D0476A" w14:textId="76812DAE" w:rsidR="00B13E3F" w:rsidRPr="00B13E3F" w:rsidRDefault="00B13E3F" w:rsidP="00B13E3F">
      <w:pPr>
        <w:tabs>
          <w:tab w:val="left" w:pos="567"/>
        </w:tabs>
        <w:contextualSpacing/>
        <w:jc w:val="both"/>
        <w:rPr>
          <w:rFonts w:ascii="Arial" w:hAnsi="Arial" w:cs="Arial"/>
          <w:b/>
          <w:sz w:val="16"/>
          <w:szCs w:val="16"/>
        </w:rPr>
      </w:pPr>
    </w:p>
    <w:p w14:paraId="3C50A11F" w14:textId="0EDF6B08" w:rsidR="00B13E3F" w:rsidRPr="00B13E3F" w:rsidRDefault="008879C3" w:rsidP="00B13E3F">
      <w:pPr>
        <w:tabs>
          <w:tab w:val="left" w:pos="567"/>
        </w:tabs>
        <w:contextualSpacing/>
        <w:jc w:val="both"/>
        <w:rPr>
          <w:rFonts w:ascii="Arial" w:hAnsi="Arial" w:cs="Arial"/>
          <w:b/>
          <w:sz w:val="16"/>
          <w:szCs w:val="16"/>
        </w:rPr>
      </w:pPr>
      <w:r>
        <w:rPr>
          <w:rFonts w:ascii="Arial" w:hAnsi="Arial" w:cs="Arial"/>
          <w:b/>
          <w:sz w:val="16"/>
          <w:szCs w:val="16"/>
        </w:rPr>
        <w:t xml:space="preserve">2.6.4. </w:t>
      </w:r>
      <w:r w:rsidR="00B13E3F" w:rsidRPr="00B13E3F">
        <w:rPr>
          <w:rFonts w:ascii="Arial" w:hAnsi="Arial" w:cs="Arial"/>
          <w:b/>
          <w:sz w:val="16"/>
          <w:szCs w:val="16"/>
        </w:rPr>
        <w:t>Variables:</w:t>
      </w:r>
    </w:p>
    <w:p w14:paraId="7C420683" w14:textId="77777777" w:rsidR="00B13E3F" w:rsidRPr="00B13E3F" w:rsidRDefault="00B13E3F" w:rsidP="00B13E3F">
      <w:pPr>
        <w:tabs>
          <w:tab w:val="left" w:pos="567"/>
        </w:tabs>
        <w:contextualSpacing/>
        <w:jc w:val="both"/>
        <w:rPr>
          <w:rFonts w:ascii="Arial" w:hAnsi="Arial" w:cs="Arial"/>
          <w:b/>
          <w:sz w:val="16"/>
          <w:szCs w:val="16"/>
        </w:rPr>
      </w:pPr>
    </w:p>
    <w:p w14:paraId="0C00D125" w14:textId="79F103A8" w:rsidR="00B13E3F" w:rsidRPr="00B13E3F" w:rsidRDefault="00B572B8" w:rsidP="00B13E3F">
      <w:pPr>
        <w:tabs>
          <w:tab w:val="left" w:pos="567"/>
        </w:tabs>
        <w:contextualSpacing/>
        <w:jc w:val="both"/>
        <w:rPr>
          <w:rFonts w:ascii="Arial" w:hAnsi="Arial" w:cs="Arial"/>
          <w:b/>
          <w:sz w:val="16"/>
          <w:szCs w:val="16"/>
        </w:rPr>
      </w:pPr>
      <m:oMath>
        <m:r>
          <m:rPr>
            <m:sty m:val="bi"/>
          </m:rPr>
          <w:rPr>
            <w:rFonts w:ascii="Cambria Math" w:hAnsi="Cambria Math" w:cs="Cambria Math"/>
            <w:sz w:val="16"/>
            <w:szCs w:val="16"/>
          </w:rPr>
          <m:t>Monto con financiación combinada</m:t>
        </m:r>
      </m:oMath>
      <w:r w:rsidR="00B13E3F" w:rsidRPr="00B13E3F">
        <w:rPr>
          <w:rFonts w:ascii="Arial" w:hAnsi="Arial" w:cs="Arial"/>
          <w:b/>
          <w:sz w:val="16"/>
          <w:szCs w:val="16"/>
        </w:rPr>
        <w:t xml:space="preserve">: corresponde al valor total de los recursos provenientes de esquemas de </w:t>
      </w:r>
      <w:r w:rsidR="00B13E3F" w:rsidRPr="00AD212A">
        <w:rPr>
          <w:rFonts w:ascii="Arial" w:hAnsi="Arial" w:cs="Arial"/>
          <w:b/>
          <w:i/>
          <w:iCs/>
          <w:sz w:val="16"/>
          <w:szCs w:val="16"/>
        </w:rPr>
        <w:t>blended finance</w:t>
      </w:r>
      <w:r w:rsidR="00B13E3F" w:rsidRPr="00B13E3F">
        <w:rPr>
          <w:rFonts w:ascii="Arial" w:hAnsi="Arial" w:cs="Arial"/>
          <w:b/>
          <w:sz w:val="16"/>
          <w:szCs w:val="16"/>
        </w:rPr>
        <w:t xml:space="preserve"> (cooperación, multilaterales, donaciones, garantías, instrumentos no reembolsables o concesionales) utilizados en proyectos climáticos.</w:t>
      </w:r>
    </w:p>
    <w:p w14:paraId="16642E2B" w14:textId="77777777" w:rsidR="00B13E3F" w:rsidRPr="00B13E3F" w:rsidRDefault="00B13E3F" w:rsidP="00B13E3F">
      <w:pPr>
        <w:tabs>
          <w:tab w:val="left" w:pos="567"/>
        </w:tabs>
        <w:contextualSpacing/>
        <w:jc w:val="both"/>
        <w:rPr>
          <w:rFonts w:ascii="Arial" w:hAnsi="Arial" w:cs="Arial"/>
          <w:b/>
          <w:sz w:val="16"/>
          <w:szCs w:val="16"/>
        </w:rPr>
      </w:pPr>
    </w:p>
    <w:p w14:paraId="1C4BE42A" w14:textId="7DEFEA42" w:rsidR="00B13E3F" w:rsidRPr="00B13E3F" w:rsidRDefault="00AD212A" w:rsidP="00B13E3F">
      <w:pPr>
        <w:tabs>
          <w:tab w:val="left" w:pos="567"/>
        </w:tabs>
        <w:contextualSpacing/>
        <w:jc w:val="both"/>
        <w:rPr>
          <w:rFonts w:ascii="Arial" w:hAnsi="Arial" w:cs="Arial"/>
          <w:b/>
          <w:sz w:val="16"/>
          <w:szCs w:val="16"/>
        </w:rPr>
      </w:pPr>
      <m:oMath>
        <m:r>
          <m:rPr>
            <m:sty m:val="bi"/>
          </m:rPr>
          <w:rPr>
            <w:rFonts w:ascii="Cambria Math" w:hAnsi="Cambria Math" w:cs="Cambria Math"/>
            <w:sz w:val="16"/>
            <w:szCs w:val="16"/>
          </w:rPr>
          <m:t>Monto total del financiamiento a proyectos climáticos</m:t>
        </m:r>
      </m:oMath>
      <w:r w:rsidR="00B13E3F" w:rsidRPr="00B13E3F">
        <w:rPr>
          <w:rFonts w:ascii="Arial" w:hAnsi="Arial" w:cs="Arial"/>
          <w:b/>
          <w:sz w:val="16"/>
          <w:szCs w:val="16"/>
        </w:rPr>
        <w:t>: corresponde al valor total de los recursos canalizados por la entidad hacia proyectos alineados con objetivos de mitigación y/o adaptación climática.</w:t>
      </w:r>
    </w:p>
    <w:p w14:paraId="267CF01B" w14:textId="77777777" w:rsidR="00B13E3F" w:rsidRPr="00B13E3F" w:rsidRDefault="00B13E3F" w:rsidP="00B13E3F">
      <w:pPr>
        <w:tabs>
          <w:tab w:val="left" w:pos="567"/>
        </w:tabs>
        <w:contextualSpacing/>
        <w:jc w:val="both"/>
        <w:rPr>
          <w:rFonts w:ascii="Arial" w:hAnsi="Arial" w:cs="Arial"/>
          <w:b/>
          <w:sz w:val="16"/>
          <w:szCs w:val="16"/>
        </w:rPr>
      </w:pPr>
    </w:p>
    <w:p w14:paraId="22141546" w14:textId="222DEEF6" w:rsidR="00B13E3F" w:rsidRPr="00B13E3F" w:rsidRDefault="00760B89"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W</m:t>
        </m:r>
      </m:oMath>
      <w:r w:rsidR="00B13E3F" w:rsidRPr="00B13E3F">
        <w:rPr>
          <w:rFonts w:ascii="Arial" w:hAnsi="Arial" w:cs="Arial"/>
          <w:b/>
          <w:sz w:val="16"/>
          <w:szCs w:val="16"/>
        </w:rPr>
        <w:t>: peso por sector climático (Se genera un ponderador, que aumenta el riesgo en sectores con las emisiones más altas, el mismo se relaciona con el CIIU. Se puede usar como referencia el factor 5.2. extrapolado a consideración de la entidad.</w:t>
      </w:r>
    </w:p>
    <w:p w14:paraId="7780F39F" w14:textId="77777777" w:rsidR="00B13E3F" w:rsidRPr="00B13E3F" w:rsidRDefault="00B13E3F" w:rsidP="00B13E3F">
      <w:pPr>
        <w:tabs>
          <w:tab w:val="left" w:pos="567"/>
        </w:tabs>
        <w:contextualSpacing/>
        <w:jc w:val="both"/>
        <w:rPr>
          <w:rFonts w:ascii="Arial" w:hAnsi="Arial" w:cs="Arial"/>
          <w:b/>
          <w:sz w:val="16"/>
          <w:szCs w:val="16"/>
        </w:rPr>
      </w:pPr>
    </w:p>
    <w:p w14:paraId="290F08C2" w14:textId="6F3C1DA4" w:rsidR="00B13E3F" w:rsidRPr="00B13E3F" w:rsidRDefault="004E1EC0" w:rsidP="00B13E3F">
      <w:pPr>
        <w:tabs>
          <w:tab w:val="left" w:pos="567"/>
        </w:tabs>
        <w:contextualSpacing/>
        <w:jc w:val="both"/>
        <w:rPr>
          <w:rFonts w:ascii="Arial" w:hAnsi="Arial" w:cs="Arial"/>
          <w:b/>
          <w:sz w:val="16"/>
          <w:szCs w:val="16"/>
        </w:rPr>
      </w:pPr>
      <m:oMath>
        <m:r>
          <m:rPr>
            <m:sty m:val="bi"/>
          </m:rPr>
          <w:rPr>
            <w:rFonts w:ascii="Cambria Math" w:hAnsi="Cambria Math"/>
            <w:sz w:val="16"/>
            <w:szCs w:val="16"/>
          </w:rPr>
          <m:t>R</m:t>
        </m:r>
      </m:oMath>
      <w:r w:rsidR="00B13E3F" w:rsidRPr="00B13E3F">
        <w:rPr>
          <w:rFonts w:ascii="Arial" w:hAnsi="Arial" w:cs="Arial"/>
          <w:b/>
          <w:sz w:val="16"/>
          <w:szCs w:val="16"/>
        </w:rPr>
        <w:t>: Riesgo estructural del proyecto (metodología propia de la entidad)</w:t>
      </w:r>
    </w:p>
    <w:p w14:paraId="1CAE9928" w14:textId="77777777" w:rsidR="00B13E3F" w:rsidRPr="00B13E3F" w:rsidRDefault="00B13E3F" w:rsidP="00B13E3F">
      <w:pPr>
        <w:tabs>
          <w:tab w:val="left" w:pos="567"/>
        </w:tabs>
        <w:contextualSpacing/>
        <w:jc w:val="both"/>
        <w:rPr>
          <w:rFonts w:ascii="Arial" w:hAnsi="Arial" w:cs="Arial"/>
          <w:b/>
          <w:sz w:val="16"/>
          <w:szCs w:val="16"/>
        </w:rPr>
      </w:pPr>
    </w:p>
    <w:p w14:paraId="713644C2" w14:textId="32250EFD" w:rsidR="00B13E3F" w:rsidRPr="00B13E3F" w:rsidRDefault="007968C2" w:rsidP="00B13E3F">
      <w:pPr>
        <w:tabs>
          <w:tab w:val="left" w:pos="567"/>
        </w:tabs>
        <w:contextualSpacing/>
        <w:jc w:val="both"/>
        <w:rPr>
          <w:rFonts w:ascii="Arial" w:hAnsi="Arial" w:cs="Arial"/>
          <w:b/>
          <w:sz w:val="16"/>
          <w:szCs w:val="16"/>
        </w:rPr>
      </w:pPr>
      <w:r>
        <w:rPr>
          <w:rFonts w:ascii="Arial" w:hAnsi="Arial" w:cs="Arial"/>
          <w:b/>
          <w:sz w:val="16"/>
          <w:szCs w:val="16"/>
        </w:rPr>
        <w:t xml:space="preserve">2.6.5. </w:t>
      </w:r>
      <w:r w:rsidR="00B13E3F" w:rsidRPr="00B13E3F">
        <w:rPr>
          <w:rFonts w:ascii="Arial" w:hAnsi="Arial" w:cs="Arial"/>
          <w:b/>
          <w:sz w:val="16"/>
          <w:szCs w:val="16"/>
        </w:rPr>
        <w:t xml:space="preserve">Fuente: </w:t>
      </w:r>
    </w:p>
    <w:p w14:paraId="49F8AD47" w14:textId="77777777" w:rsidR="00B13E3F" w:rsidRPr="00B13E3F" w:rsidRDefault="00B13E3F" w:rsidP="00B13E3F">
      <w:pPr>
        <w:tabs>
          <w:tab w:val="left" w:pos="567"/>
        </w:tabs>
        <w:contextualSpacing/>
        <w:jc w:val="both"/>
        <w:rPr>
          <w:rFonts w:ascii="Arial" w:hAnsi="Arial" w:cs="Arial"/>
          <w:b/>
          <w:sz w:val="16"/>
          <w:szCs w:val="16"/>
        </w:rPr>
      </w:pPr>
    </w:p>
    <w:p w14:paraId="44C3D307" w14:textId="77777777" w:rsidR="00366E01" w:rsidRDefault="00B13E3F" w:rsidP="00B4291B">
      <w:pPr>
        <w:pStyle w:val="Prrafodelista"/>
        <w:numPr>
          <w:ilvl w:val="0"/>
          <w:numId w:val="7"/>
        </w:numPr>
        <w:tabs>
          <w:tab w:val="left" w:pos="567"/>
        </w:tabs>
        <w:jc w:val="both"/>
        <w:rPr>
          <w:rFonts w:ascii="Arial" w:hAnsi="Arial" w:cs="Arial"/>
          <w:b/>
          <w:sz w:val="16"/>
          <w:szCs w:val="16"/>
        </w:rPr>
      </w:pPr>
      <w:r w:rsidRPr="00366E01">
        <w:rPr>
          <w:rFonts w:ascii="Arial" w:hAnsi="Arial" w:cs="Arial"/>
          <w:b/>
          <w:sz w:val="16"/>
          <w:szCs w:val="16"/>
        </w:rPr>
        <w:t>Información interna, estudios de viabilidad</w:t>
      </w:r>
    </w:p>
    <w:p w14:paraId="2F6AC88F" w14:textId="2783807F" w:rsidR="00B13E3F" w:rsidRPr="00366E01" w:rsidRDefault="00B13E3F" w:rsidP="00B4291B">
      <w:pPr>
        <w:pStyle w:val="Prrafodelista"/>
        <w:numPr>
          <w:ilvl w:val="0"/>
          <w:numId w:val="7"/>
        </w:numPr>
        <w:tabs>
          <w:tab w:val="left" w:pos="567"/>
        </w:tabs>
        <w:jc w:val="both"/>
        <w:rPr>
          <w:rFonts w:ascii="Arial" w:hAnsi="Arial" w:cs="Arial"/>
          <w:b/>
          <w:sz w:val="16"/>
          <w:szCs w:val="16"/>
        </w:rPr>
      </w:pPr>
      <w:r w:rsidRPr="00366E01">
        <w:rPr>
          <w:rFonts w:ascii="Arial" w:hAnsi="Arial" w:cs="Arial"/>
          <w:b/>
          <w:sz w:val="16"/>
          <w:szCs w:val="16"/>
        </w:rPr>
        <w:t>IDEAM: Inventario Nacional de Emisiones y Absorciones Atmosféricas de Colombia</w:t>
      </w:r>
    </w:p>
    <w:p w14:paraId="2E9CD843" w14:textId="77777777" w:rsidR="00B13E3F" w:rsidRPr="00B13E3F" w:rsidRDefault="00B13E3F" w:rsidP="00B13E3F">
      <w:pPr>
        <w:tabs>
          <w:tab w:val="left" w:pos="567"/>
        </w:tabs>
        <w:contextualSpacing/>
        <w:jc w:val="both"/>
        <w:rPr>
          <w:rFonts w:ascii="Arial" w:hAnsi="Arial" w:cs="Arial"/>
          <w:b/>
          <w:sz w:val="16"/>
          <w:szCs w:val="16"/>
        </w:rPr>
      </w:pPr>
    </w:p>
    <w:p w14:paraId="522152AA" w14:textId="4A47573A" w:rsidR="00B13E3F" w:rsidRPr="00B13E3F" w:rsidRDefault="00366E01" w:rsidP="00B13E3F">
      <w:pPr>
        <w:tabs>
          <w:tab w:val="left" w:pos="567"/>
        </w:tabs>
        <w:contextualSpacing/>
        <w:jc w:val="both"/>
        <w:rPr>
          <w:rFonts w:ascii="Arial" w:hAnsi="Arial" w:cs="Arial"/>
          <w:b/>
          <w:sz w:val="16"/>
          <w:szCs w:val="16"/>
        </w:rPr>
      </w:pPr>
      <w:r>
        <w:rPr>
          <w:rFonts w:ascii="Arial" w:hAnsi="Arial" w:cs="Arial"/>
          <w:b/>
          <w:sz w:val="16"/>
          <w:szCs w:val="16"/>
        </w:rPr>
        <w:t xml:space="preserve">2.6.6. </w:t>
      </w:r>
      <w:r w:rsidR="00B13E3F" w:rsidRPr="00B13E3F">
        <w:rPr>
          <w:rFonts w:ascii="Arial" w:hAnsi="Arial" w:cs="Arial"/>
          <w:b/>
          <w:sz w:val="16"/>
          <w:szCs w:val="16"/>
        </w:rPr>
        <w:t xml:space="preserve">Cobertura: </w:t>
      </w:r>
      <w:r w:rsidR="00C52016">
        <w:rPr>
          <w:rFonts w:ascii="Arial" w:hAnsi="Arial" w:cs="Arial"/>
          <w:b/>
          <w:sz w:val="16"/>
          <w:szCs w:val="16"/>
        </w:rPr>
        <w:t>El indicador se puede calcular a nivel i</w:t>
      </w:r>
      <w:r w:rsidR="00B13E3F" w:rsidRPr="00B13E3F">
        <w:rPr>
          <w:rFonts w:ascii="Arial" w:hAnsi="Arial" w:cs="Arial"/>
          <w:b/>
          <w:sz w:val="16"/>
          <w:szCs w:val="16"/>
        </w:rPr>
        <w:t>nstitucional</w:t>
      </w:r>
      <w:r w:rsidR="00C52016">
        <w:rPr>
          <w:rFonts w:ascii="Arial" w:hAnsi="Arial" w:cs="Arial"/>
          <w:b/>
          <w:sz w:val="16"/>
          <w:szCs w:val="16"/>
        </w:rPr>
        <w:t>, por p</w:t>
      </w:r>
      <w:r w:rsidR="00B13E3F" w:rsidRPr="00B13E3F">
        <w:rPr>
          <w:rFonts w:ascii="Arial" w:hAnsi="Arial" w:cs="Arial"/>
          <w:b/>
          <w:sz w:val="16"/>
          <w:szCs w:val="16"/>
        </w:rPr>
        <w:t xml:space="preserve">royecto </w:t>
      </w:r>
      <w:r w:rsidR="00C52016">
        <w:rPr>
          <w:rFonts w:ascii="Arial" w:hAnsi="Arial" w:cs="Arial"/>
          <w:b/>
          <w:sz w:val="16"/>
          <w:szCs w:val="16"/>
        </w:rPr>
        <w:t>o por</w:t>
      </w:r>
      <w:r w:rsidR="00B13E3F" w:rsidRPr="00B13E3F">
        <w:rPr>
          <w:rFonts w:ascii="Arial" w:hAnsi="Arial" w:cs="Arial"/>
          <w:b/>
          <w:sz w:val="16"/>
          <w:szCs w:val="16"/>
        </w:rPr>
        <w:t xml:space="preserve"> </w:t>
      </w:r>
      <w:r w:rsidR="00C52016">
        <w:rPr>
          <w:rFonts w:ascii="Arial" w:hAnsi="Arial" w:cs="Arial"/>
          <w:b/>
          <w:sz w:val="16"/>
          <w:szCs w:val="16"/>
        </w:rPr>
        <w:t>l</w:t>
      </w:r>
      <w:r w:rsidR="00B13E3F" w:rsidRPr="00B13E3F">
        <w:rPr>
          <w:rFonts w:ascii="Arial" w:hAnsi="Arial" w:cs="Arial"/>
          <w:b/>
          <w:sz w:val="16"/>
          <w:szCs w:val="16"/>
        </w:rPr>
        <w:t>ínea de negocio.</w:t>
      </w:r>
    </w:p>
    <w:p w14:paraId="6A775AE0" w14:textId="5F99C582" w:rsidR="00B13E3F" w:rsidRPr="00B13E3F" w:rsidRDefault="00B13E3F" w:rsidP="00B13E3F">
      <w:pPr>
        <w:tabs>
          <w:tab w:val="left" w:pos="567"/>
        </w:tabs>
        <w:contextualSpacing/>
        <w:jc w:val="both"/>
        <w:rPr>
          <w:rFonts w:ascii="Arial" w:hAnsi="Arial" w:cs="Arial"/>
          <w:b/>
          <w:sz w:val="16"/>
          <w:szCs w:val="16"/>
        </w:rPr>
      </w:pPr>
    </w:p>
    <w:p w14:paraId="3C9C3A64" w14:textId="0F8DE357" w:rsidR="00B13E3F" w:rsidRPr="00B13E3F" w:rsidRDefault="00A31FF2" w:rsidP="00B13E3F">
      <w:pPr>
        <w:tabs>
          <w:tab w:val="left" w:pos="567"/>
        </w:tabs>
        <w:contextualSpacing/>
        <w:jc w:val="both"/>
        <w:rPr>
          <w:rFonts w:ascii="Arial" w:hAnsi="Arial" w:cs="Arial"/>
          <w:b/>
          <w:sz w:val="16"/>
          <w:szCs w:val="16"/>
        </w:rPr>
      </w:pPr>
      <w:r>
        <w:rPr>
          <w:rFonts w:ascii="Arial" w:hAnsi="Arial" w:cs="Arial"/>
          <w:b/>
          <w:sz w:val="16"/>
          <w:szCs w:val="16"/>
        </w:rPr>
        <w:lastRenderedPageBreak/>
        <w:t xml:space="preserve">2.7. </w:t>
      </w:r>
      <w:r w:rsidR="00B13E3F" w:rsidRPr="00B13E3F">
        <w:rPr>
          <w:rFonts w:ascii="Arial" w:hAnsi="Arial" w:cs="Arial"/>
          <w:b/>
          <w:sz w:val="16"/>
          <w:szCs w:val="16"/>
        </w:rPr>
        <w:t>Participación en Programas de Financiamiento Climático Internacional (PFCI)</w:t>
      </w:r>
    </w:p>
    <w:p w14:paraId="5078E279" w14:textId="77777777" w:rsidR="00B13E3F" w:rsidRPr="00B13E3F" w:rsidRDefault="00B13E3F" w:rsidP="00B13E3F">
      <w:pPr>
        <w:tabs>
          <w:tab w:val="left" w:pos="567"/>
        </w:tabs>
        <w:contextualSpacing/>
        <w:jc w:val="both"/>
        <w:rPr>
          <w:rFonts w:ascii="Arial" w:hAnsi="Arial" w:cs="Arial"/>
          <w:b/>
          <w:sz w:val="16"/>
          <w:szCs w:val="16"/>
        </w:rPr>
      </w:pPr>
    </w:p>
    <w:p w14:paraId="4895151F" w14:textId="4D284A19" w:rsidR="00B13E3F" w:rsidRPr="00B13E3F" w:rsidRDefault="00A31FF2" w:rsidP="00B13E3F">
      <w:pPr>
        <w:tabs>
          <w:tab w:val="left" w:pos="567"/>
        </w:tabs>
        <w:contextualSpacing/>
        <w:jc w:val="both"/>
        <w:rPr>
          <w:rFonts w:ascii="Arial" w:hAnsi="Arial" w:cs="Arial"/>
          <w:b/>
          <w:sz w:val="16"/>
          <w:szCs w:val="16"/>
        </w:rPr>
      </w:pPr>
      <w:r>
        <w:rPr>
          <w:rFonts w:ascii="Arial" w:hAnsi="Arial" w:cs="Arial"/>
          <w:b/>
          <w:sz w:val="16"/>
          <w:szCs w:val="16"/>
        </w:rPr>
        <w:t xml:space="preserve">2.7.1. </w:t>
      </w:r>
      <w:r w:rsidR="00B13E3F" w:rsidRPr="00B13E3F">
        <w:rPr>
          <w:rFonts w:ascii="Arial" w:hAnsi="Arial" w:cs="Arial"/>
          <w:b/>
          <w:sz w:val="16"/>
          <w:szCs w:val="16"/>
        </w:rPr>
        <w:t>Tipo de indicador: Resultado / Impacto.</w:t>
      </w:r>
    </w:p>
    <w:p w14:paraId="1A5825F3" w14:textId="77777777" w:rsidR="00B13E3F" w:rsidRPr="00B13E3F" w:rsidRDefault="00B13E3F" w:rsidP="00B13E3F">
      <w:pPr>
        <w:tabs>
          <w:tab w:val="left" w:pos="567"/>
        </w:tabs>
        <w:contextualSpacing/>
        <w:jc w:val="both"/>
        <w:rPr>
          <w:rFonts w:ascii="Arial" w:hAnsi="Arial" w:cs="Arial"/>
          <w:b/>
          <w:sz w:val="16"/>
          <w:szCs w:val="16"/>
        </w:rPr>
      </w:pPr>
    </w:p>
    <w:p w14:paraId="42B48D08" w14:textId="762623C3" w:rsidR="00B13E3F" w:rsidRDefault="00A31FF2" w:rsidP="00B13E3F">
      <w:pPr>
        <w:tabs>
          <w:tab w:val="left" w:pos="567"/>
        </w:tabs>
        <w:contextualSpacing/>
        <w:jc w:val="both"/>
        <w:rPr>
          <w:rFonts w:ascii="Arial" w:hAnsi="Arial" w:cs="Arial"/>
          <w:b/>
          <w:sz w:val="16"/>
          <w:szCs w:val="16"/>
        </w:rPr>
      </w:pPr>
      <w:r>
        <w:rPr>
          <w:rFonts w:ascii="Arial" w:hAnsi="Arial" w:cs="Arial"/>
          <w:b/>
          <w:sz w:val="16"/>
          <w:szCs w:val="16"/>
        </w:rPr>
        <w:t xml:space="preserve">2.7.2. </w:t>
      </w:r>
      <w:r w:rsidR="00B13E3F" w:rsidRPr="00B13E3F">
        <w:rPr>
          <w:rFonts w:ascii="Arial" w:hAnsi="Arial" w:cs="Arial"/>
          <w:b/>
          <w:sz w:val="16"/>
          <w:szCs w:val="16"/>
        </w:rPr>
        <w:t xml:space="preserve">Propósito: </w:t>
      </w:r>
      <w:r w:rsidR="00A336E0">
        <w:rPr>
          <w:rFonts w:ascii="Arial" w:hAnsi="Arial" w:cs="Arial"/>
          <w:b/>
          <w:sz w:val="16"/>
          <w:szCs w:val="16"/>
        </w:rPr>
        <w:t>m</w:t>
      </w:r>
      <w:r w:rsidR="00B13E3F" w:rsidRPr="00B13E3F">
        <w:rPr>
          <w:rFonts w:ascii="Arial" w:hAnsi="Arial" w:cs="Arial"/>
          <w:b/>
          <w:sz w:val="16"/>
          <w:szCs w:val="16"/>
        </w:rPr>
        <w:t>ide la proporción de recursos provenientes de fondos internacionales para el clima frente al total del financiamiento estructurado por la entidad en proyectos alineados con objetivos climáticos, facilitando reconocer el entorno financiero habilitante para la sostenibilidad. El indicador se puede percibir también como una tasa de acceso a fondos internacionales para clima.</w:t>
      </w:r>
    </w:p>
    <w:p w14:paraId="7C88DB85" w14:textId="77777777" w:rsidR="00E26EB3" w:rsidRDefault="00E26EB3" w:rsidP="00B13E3F">
      <w:pPr>
        <w:tabs>
          <w:tab w:val="left" w:pos="567"/>
        </w:tabs>
        <w:contextualSpacing/>
        <w:jc w:val="both"/>
        <w:rPr>
          <w:rFonts w:ascii="Arial" w:hAnsi="Arial" w:cs="Arial"/>
          <w:b/>
          <w:sz w:val="16"/>
          <w:szCs w:val="16"/>
        </w:rPr>
      </w:pPr>
    </w:p>
    <w:p w14:paraId="10B63BD2" w14:textId="03E42FF6" w:rsidR="00E26EB3" w:rsidRPr="00B13E3F" w:rsidRDefault="00E26EB3" w:rsidP="00B13E3F">
      <w:pPr>
        <w:tabs>
          <w:tab w:val="left" w:pos="567"/>
        </w:tabs>
        <w:contextualSpacing/>
        <w:jc w:val="both"/>
        <w:rPr>
          <w:rFonts w:ascii="Arial" w:hAnsi="Arial" w:cs="Arial"/>
          <w:b/>
          <w:sz w:val="16"/>
          <w:szCs w:val="16"/>
        </w:rPr>
      </w:pPr>
      <w:r>
        <w:rPr>
          <w:rFonts w:ascii="Arial" w:hAnsi="Arial" w:cs="Arial"/>
          <w:b/>
          <w:sz w:val="16"/>
          <w:szCs w:val="16"/>
        </w:rPr>
        <w:t>Este indicador puede ser utilizado por los e</w:t>
      </w:r>
      <w:r w:rsidRPr="00B13E3F">
        <w:rPr>
          <w:rFonts w:ascii="Arial" w:hAnsi="Arial" w:cs="Arial"/>
          <w:b/>
          <w:sz w:val="16"/>
          <w:szCs w:val="16"/>
        </w:rPr>
        <w:t xml:space="preserve">stablecimientos de </w:t>
      </w:r>
      <w:r>
        <w:rPr>
          <w:rFonts w:ascii="Arial" w:hAnsi="Arial" w:cs="Arial"/>
          <w:b/>
          <w:sz w:val="16"/>
          <w:szCs w:val="16"/>
        </w:rPr>
        <w:t>c</w:t>
      </w:r>
      <w:r w:rsidRPr="00B13E3F">
        <w:rPr>
          <w:rFonts w:ascii="Arial" w:hAnsi="Arial" w:cs="Arial"/>
          <w:b/>
          <w:sz w:val="16"/>
          <w:szCs w:val="16"/>
        </w:rPr>
        <w:t>rédito</w:t>
      </w:r>
      <w:r>
        <w:rPr>
          <w:rFonts w:ascii="Arial" w:hAnsi="Arial" w:cs="Arial"/>
          <w:b/>
          <w:sz w:val="16"/>
          <w:szCs w:val="16"/>
        </w:rPr>
        <w:t>, las entidades a</w:t>
      </w:r>
      <w:r w:rsidRPr="00B13E3F">
        <w:rPr>
          <w:rFonts w:ascii="Arial" w:hAnsi="Arial" w:cs="Arial"/>
          <w:b/>
          <w:sz w:val="16"/>
          <w:szCs w:val="16"/>
        </w:rPr>
        <w:t>seguradoras y</w:t>
      </w:r>
      <w:r>
        <w:rPr>
          <w:rFonts w:ascii="Arial" w:hAnsi="Arial" w:cs="Arial"/>
          <w:b/>
          <w:sz w:val="16"/>
          <w:szCs w:val="16"/>
        </w:rPr>
        <w:t xml:space="preserve"> las entidades que administran recursos de terceros. </w:t>
      </w:r>
    </w:p>
    <w:p w14:paraId="239336C3" w14:textId="77777777" w:rsidR="00B13E3F" w:rsidRPr="00B13E3F" w:rsidRDefault="00B13E3F" w:rsidP="00B13E3F">
      <w:pPr>
        <w:tabs>
          <w:tab w:val="left" w:pos="567"/>
        </w:tabs>
        <w:contextualSpacing/>
        <w:jc w:val="both"/>
        <w:rPr>
          <w:rFonts w:ascii="Arial" w:hAnsi="Arial" w:cs="Arial"/>
          <w:b/>
          <w:sz w:val="16"/>
          <w:szCs w:val="16"/>
        </w:rPr>
      </w:pPr>
    </w:p>
    <w:p w14:paraId="61A89BEC" w14:textId="797B8E81" w:rsidR="00B13E3F" w:rsidRPr="00B13E3F" w:rsidRDefault="00C46BD8" w:rsidP="00B13E3F">
      <w:pPr>
        <w:tabs>
          <w:tab w:val="left" w:pos="567"/>
        </w:tabs>
        <w:contextualSpacing/>
        <w:jc w:val="both"/>
        <w:rPr>
          <w:rFonts w:ascii="Arial" w:hAnsi="Arial" w:cs="Arial"/>
          <w:b/>
          <w:sz w:val="16"/>
          <w:szCs w:val="16"/>
        </w:rPr>
      </w:pPr>
      <w:r>
        <w:rPr>
          <w:rFonts w:ascii="Arial" w:hAnsi="Arial" w:cs="Arial"/>
          <w:b/>
          <w:sz w:val="16"/>
          <w:szCs w:val="16"/>
        </w:rPr>
        <w:t xml:space="preserve">2.7.3. </w:t>
      </w:r>
      <w:r w:rsidR="00B13E3F" w:rsidRPr="00B13E3F">
        <w:rPr>
          <w:rFonts w:ascii="Arial" w:hAnsi="Arial" w:cs="Arial"/>
          <w:b/>
          <w:sz w:val="16"/>
          <w:szCs w:val="16"/>
        </w:rPr>
        <w:t>Fórmula</w:t>
      </w:r>
      <w:r w:rsidR="00F64D9D">
        <w:rPr>
          <w:rFonts w:ascii="Arial" w:hAnsi="Arial" w:cs="Arial"/>
          <w:b/>
          <w:sz w:val="16"/>
          <w:szCs w:val="16"/>
        </w:rPr>
        <w:t>:</w:t>
      </w:r>
    </w:p>
    <w:p w14:paraId="1C7298B5" w14:textId="77777777" w:rsidR="00B13E3F" w:rsidRPr="00B13E3F" w:rsidRDefault="00B13E3F" w:rsidP="00B13E3F">
      <w:pPr>
        <w:tabs>
          <w:tab w:val="left" w:pos="567"/>
        </w:tabs>
        <w:contextualSpacing/>
        <w:jc w:val="both"/>
        <w:rPr>
          <w:rFonts w:ascii="Arial" w:hAnsi="Arial" w:cs="Arial"/>
          <w:b/>
          <w:sz w:val="16"/>
          <w:szCs w:val="16"/>
        </w:rPr>
      </w:pPr>
    </w:p>
    <w:p w14:paraId="237E371A" w14:textId="3FBA960F" w:rsidR="00CA2A3D" w:rsidRPr="00CA2A3D" w:rsidRDefault="00CA2A3D" w:rsidP="00CA2A3D">
      <w:pPr>
        <w:jc w:val="both"/>
        <w:rPr>
          <w:rFonts w:ascii="Verdana" w:hAnsi="Verdana"/>
          <w:b/>
          <w:bCs/>
          <w:i/>
          <w:sz w:val="16"/>
          <w:szCs w:val="16"/>
        </w:rPr>
      </w:pPr>
      <m:oMathPara>
        <m:oMath>
          <m:r>
            <m:rPr>
              <m:sty m:val="bi"/>
            </m:rPr>
            <w:rPr>
              <w:rFonts w:ascii="Cambria Math" w:hAnsi="Cambria Math"/>
              <w:sz w:val="16"/>
              <w:szCs w:val="16"/>
            </w:rPr>
            <m:t>PFCI</m:t>
          </m:r>
          <m:r>
            <m:rPr>
              <m:sty m:val="bi"/>
            </m:rPr>
            <w:rPr>
              <w:rFonts w:ascii="Cambria Math" w:hAnsi="Cambria Math" w:cs="Cambria Math"/>
              <w:sz w:val="16"/>
              <w:szCs w:val="16"/>
            </w:rPr>
            <m:t>=</m:t>
          </m:r>
          <m:f>
            <m:fPr>
              <m:ctrlPr>
                <w:rPr>
                  <w:rFonts w:ascii="Cambria Math" w:hAnsi="Cambria Math"/>
                  <w:b/>
                  <w:bCs/>
                  <w:i/>
                  <w:sz w:val="16"/>
                  <w:szCs w:val="16"/>
                </w:rPr>
              </m:ctrlPr>
            </m:fPr>
            <m:num>
              <m:r>
                <m:rPr>
                  <m:sty m:val="bi"/>
                </m:rPr>
                <w:rPr>
                  <w:rFonts w:ascii="Cambria Math" w:hAnsi="Cambria Math" w:cs="Cambria Math"/>
                  <w:sz w:val="16"/>
                  <w:szCs w:val="16"/>
                </w:rPr>
                <m:t>Fondos climáticos internacionales canalizados</m:t>
              </m:r>
            </m:num>
            <m:den>
              <m:r>
                <m:rPr>
                  <m:sty m:val="bi"/>
                </m:rPr>
                <w:rPr>
                  <w:rFonts w:ascii="Cambria Math" w:hAnsi="Cambria Math" w:cs="Cambria Math"/>
                  <w:sz w:val="16"/>
                  <w:szCs w:val="16"/>
                </w:rPr>
                <m:t>Financiamiento total combinado del portafolio o cartera</m:t>
              </m:r>
            </m:den>
          </m:f>
          <m:r>
            <m:rPr>
              <m:sty m:val="bi"/>
            </m:rPr>
            <w:rPr>
              <w:rFonts w:ascii="Cambria Math" w:hAnsi="Cambria Math"/>
              <w:sz w:val="16"/>
              <w:szCs w:val="16"/>
            </w:rPr>
            <m:t>*100</m:t>
          </m:r>
        </m:oMath>
      </m:oMathPara>
    </w:p>
    <w:p w14:paraId="3E57D6D5" w14:textId="77777777" w:rsidR="00B13E3F" w:rsidRPr="00B13E3F" w:rsidRDefault="00B13E3F" w:rsidP="00B13E3F">
      <w:pPr>
        <w:tabs>
          <w:tab w:val="left" w:pos="567"/>
        </w:tabs>
        <w:contextualSpacing/>
        <w:jc w:val="both"/>
        <w:rPr>
          <w:rFonts w:ascii="Arial" w:hAnsi="Arial" w:cs="Arial"/>
          <w:b/>
          <w:sz w:val="16"/>
          <w:szCs w:val="16"/>
        </w:rPr>
      </w:pPr>
    </w:p>
    <w:p w14:paraId="4AD9859E" w14:textId="77777777"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El índice se presenta como porcentaje y su medición puede ser anual, o en caso coyuntural se podrá realizar a consideración de la entidad.</w:t>
      </w:r>
    </w:p>
    <w:p w14:paraId="15E7C8E1" w14:textId="77777777" w:rsidR="00B13E3F" w:rsidRPr="00B13E3F" w:rsidRDefault="00B13E3F" w:rsidP="00B13E3F">
      <w:pPr>
        <w:tabs>
          <w:tab w:val="left" w:pos="567"/>
        </w:tabs>
        <w:contextualSpacing/>
        <w:jc w:val="both"/>
        <w:rPr>
          <w:rFonts w:ascii="Arial" w:hAnsi="Arial" w:cs="Arial"/>
          <w:b/>
          <w:sz w:val="16"/>
          <w:szCs w:val="16"/>
        </w:rPr>
      </w:pPr>
    </w:p>
    <w:p w14:paraId="78122857" w14:textId="41A911D4" w:rsidR="00B13E3F" w:rsidRPr="00B13E3F" w:rsidRDefault="00C46BD8" w:rsidP="00B13E3F">
      <w:pPr>
        <w:tabs>
          <w:tab w:val="left" w:pos="567"/>
        </w:tabs>
        <w:contextualSpacing/>
        <w:jc w:val="both"/>
        <w:rPr>
          <w:rFonts w:ascii="Arial" w:hAnsi="Arial" w:cs="Arial"/>
          <w:b/>
          <w:sz w:val="16"/>
          <w:szCs w:val="16"/>
        </w:rPr>
      </w:pPr>
      <w:r>
        <w:rPr>
          <w:rFonts w:ascii="Arial" w:hAnsi="Arial" w:cs="Arial"/>
          <w:b/>
          <w:sz w:val="16"/>
          <w:szCs w:val="16"/>
        </w:rPr>
        <w:t xml:space="preserve">2.7.4. </w:t>
      </w:r>
      <w:r w:rsidR="00B13E3F" w:rsidRPr="00B13E3F">
        <w:rPr>
          <w:rFonts w:ascii="Arial" w:hAnsi="Arial" w:cs="Arial"/>
          <w:b/>
          <w:sz w:val="16"/>
          <w:szCs w:val="16"/>
        </w:rPr>
        <w:t xml:space="preserve">Variables: </w:t>
      </w:r>
    </w:p>
    <w:p w14:paraId="6BA2922E" w14:textId="77777777" w:rsidR="00B13E3F" w:rsidRPr="00B13E3F" w:rsidRDefault="00B13E3F" w:rsidP="00B13E3F">
      <w:pPr>
        <w:tabs>
          <w:tab w:val="left" w:pos="567"/>
        </w:tabs>
        <w:contextualSpacing/>
        <w:jc w:val="both"/>
        <w:rPr>
          <w:rFonts w:ascii="Arial" w:hAnsi="Arial" w:cs="Arial"/>
          <w:b/>
          <w:sz w:val="16"/>
          <w:szCs w:val="16"/>
        </w:rPr>
      </w:pPr>
    </w:p>
    <w:p w14:paraId="56CEE339" w14:textId="249DAE94" w:rsidR="00B13E3F" w:rsidRPr="00B13E3F" w:rsidRDefault="00C46BD8" w:rsidP="00B13E3F">
      <w:pPr>
        <w:tabs>
          <w:tab w:val="left" w:pos="567"/>
        </w:tabs>
        <w:contextualSpacing/>
        <w:jc w:val="both"/>
        <w:rPr>
          <w:rFonts w:ascii="Arial" w:hAnsi="Arial" w:cs="Arial"/>
          <w:b/>
          <w:sz w:val="16"/>
          <w:szCs w:val="16"/>
        </w:rPr>
      </w:pPr>
      <m:oMath>
        <m:r>
          <m:rPr>
            <m:sty m:val="bi"/>
          </m:rPr>
          <w:rPr>
            <w:rFonts w:ascii="Cambria Math" w:hAnsi="Cambria Math" w:cs="Cambria Math"/>
            <w:sz w:val="16"/>
            <w:szCs w:val="16"/>
          </w:rPr>
          <m:t>Fondos climáticos internacionales canalizados</m:t>
        </m:r>
      </m:oMath>
      <w:r w:rsidR="00B13E3F" w:rsidRPr="00B13E3F">
        <w:rPr>
          <w:rFonts w:ascii="Arial" w:hAnsi="Arial" w:cs="Arial"/>
          <w:b/>
          <w:sz w:val="16"/>
          <w:szCs w:val="16"/>
        </w:rPr>
        <w:t xml:space="preserve">: </w:t>
      </w:r>
      <w:r w:rsidR="00800211">
        <w:rPr>
          <w:rFonts w:ascii="Arial" w:hAnsi="Arial" w:cs="Arial"/>
          <w:b/>
          <w:sz w:val="16"/>
          <w:szCs w:val="16"/>
        </w:rPr>
        <w:t>r</w:t>
      </w:r>
      <w:r w:rsidR="00B13E3F" w:rsidRPr="00B13E3F">
        <w:rPr>
          <w:rFonts w:ascii="Arial" w:hAnsi="Arial" w:cs="Arial"/>
          <w:b/>
          <w:sz w:val="16"/>
          <w:szCs w:val="16"/>
        </w:rPr>
        <w:t>ecursos provenientes de programas como el Fondo Verde del Clima (GCF), el Fondo Mundial para el Medio Ambiente (GEF), CIF, NAMA Facility, entre otros.</w:t>
      </w:r>
    </w:p>
    <w:p w14:paraId="59EFECEE" w14:textId="77777777" w:rsidR="00B13E3F" w:rsidRPr="00B13E3F" w:rsidRDefault="00B13E3F" w:rsidP="00B13E3F">
      <w:pPr>
        <w:tabs>
          <w:tab w:val="left" w:pos="567"/>
        </w:tabs>
        <w:contextualSpacing/>
        <w:jc w:val="both"/>
        <w:rPr>
          <w:rFonts w:ascii="Arial" w:hAnsi="Arial" w:cs="Arial"/>
          <w:b/>
          <w:sz w:val="16"/>
          <w:szCs w:val="16"/>
        </w:rPr>
      </w:pPr>
    </w:p>
    <w:p w14:paraId="64613D87" w14:textId="04A47515" w:rsidR="00B13E3F" w:rsidRPr="00B13E3F" w:rsidRDefault="00C46BD8" w:rsidP="00B13E3F">
      <w:pPr>
        <w:tabs>
          <w:tab w:val="left" w:pos="567"/>
        </w:tabs>
        <w:contextualSpacing/>
        <w:jc w:val="both"/>
        <w:rPr>
          <w:rFonts w:ascii="Arial" w:hAnsi="Arial" w:cs="Arial"/>
          <w:b/>
          <w:sz w:val="16"/>
          <w:szCs w:val="16"/>
        </w:rPr>
      </w:pPr>
      <m:oMath>
        <m:r>
          <m:rPr>
            <m:sty m:val="bi"/>
          </m:rPr>
          <w:rPr>
            <w:rFonts w:ascii="Cambria Math" w:hAnsi="Cambria Math" w:cs="Cambria Math"/>
            <w:sz w:val="16"/>
            <w:szCs w:val="16"/>
          </w:rPr>
          <m:t>Financiamiento total combinado del portafolio o cartera</m:t>
        </m:r>
      </m:oMath>
      <w:r w:rsidR="00B13E3F" w:rsidRPr="00B13E3F">
        <w:rPr>
          <w:rFonts w:ascii="Arial" w:hAnsi="Arial" w:cs="Arial"/>
          <w:b/>
          <w:sz w:val="16"/>
          <w:szCs w:val="16"/>
        </w:rPr>
        <w:t xml:space="preserve">: </w:t>
      </w:r>
      <w:r>
        <w:rPr>
          <w:rFonts w:ascii="Arial" w:hAnsi="Arial" w:cs="Arial"/>
          <w:b/>
          <w:sz w:val="16"/>
          <w:szCs w:val="16"/>
        </w:rPr>
        <w:t>t</w:t>
      </w:r>
      <w:r w:rsidR="00B13E3F" w:rsidRPr="00B13E3F">
        <w:rPr>
          <w:rFonts w:ascii="Arial" w:hAnsi="Arial" w:cs="Arial"/>
          <w:b/>
          <w:sz w:val="16"/>
          <w:szCs w:val="16"/>
        </w:rPr>
        <w:t>otal de recursos estructurados por la entidad en el portafolio climático, incluyendo recursos propios</w:t>
      </w:r>
      <w:r w:rsidR="00800211">
        <w:rPr>
          <w:rFonts w:ascii="Arial" w:hAnsi="Arial" w:cs="Arial"/>
          <w:b/>
          <w:sz w:val="16"/>
          <w:szCs w:val="16"/>
        </w:rPr>
        <w:t>.</w:t>
      </w:r>
      <w:r w:rsidR="00B13E3F" w:rsidRPr="00B13E3F">
        <w:rPr>
          <w:rFonts w:ascii="Arial" w:hAnsi="Arial" w:cs="Arial"/>
          <w:b/>
          <w:sz w:val="16"/>
          <w:szCs w:val="16"/>
        </w:rPr>
        <w:t xml:space="preserve"> </w:t>
      </w:r>
    </w:p>
    <w:p w14:paraId="0182406F" w14:textId="77777777" w:rsidR="00B13E3F" w:rsidRPr="00B13E3F" w:rsidRDefault="00B13E3F" w:rsidP="00B13E3F">
      <w:pPr>
        <w:tabs>
          <w:tab w:val="left" w:pos="567"/>
        </w:tabs>
        <w:contextualSpacing/>
        <w:jc w:val="both"/>
        <w:rPr>
          <w:rFonts w:ascii="Arial" w:hAnsi="Arial" w:cs="Arial"/>
          <w:b/>
          <w:sz w:val="16"/>
          <w:szCs w:val="16"/>
        </w:rPr>
      </w:pPr>
    </w:p>
    <w:p w14:paraId="7CEE945F" w14:textId="77D42567" w:rsidR="00B13E3F" w:rsidRPr="00B13E3F" w:rsidRDefault="00E26EB3" w:rsidP="00B13E3F">
      <w:pPr>
        <w:tabs>
          <w:tab w:val="left" w:pos="567"/>
        </w:tabs>
        <w:contextualSpacing/>
        <w:jc w:val="both"/>
        <w:rPr>
          <w:rFonts w:ascii="Arial" w:hAnsi="Arial" w:cs="Arial"/>
          <w:b/>
          <w:sz w:val="16"/>
          <w:szCs w:val="16"/>
        </w:rPr>
      </w:pPr>
      <w:r>
        <w:rPr>
          <w:rFonts w:ascii="Arial" w:hAnsi="Arial" w:cs="Arial"/>
          <w:b/>
          <w:sz w:val="16"/>
          <w:szCs w:val="16"/>
        </w:rPr>
        <w:t xml:space="preserve">2.7.5. </w:t>
      </w:r>
      <w:r w:rsidR="00B13E3F" w:rsidRPr="00B13E3F">
        <w:rPr>
          <w:rFonts w:ascii="Arial" w:hAnsi="Arial" w:cs="Arial"/>
          <w:b/>
          <w:sz w:val="16"/>
          <w:szCs w:val="16"/>
        </w:rPr>
        <w:t xml:space="preserve">Fuente: </w:t>
      </w:r>
    </w:p>
    <w:p w14:paraId="67BF0D9A" w14:textId="77777777" w:rsidR="00B13E3F" w:rsidRPr="00B13E3F" w:rsidRDefault="00B13E3F" w:rsidP="00B13E3F">
      <w:pPr>
        <w:tabs>
          <w:tab w:val="left" w:pos="567"/>
        </w:tabs>
        <w:contextualSpacing/>
        <w:jc w:val="both"/>
        <w:rPr>
          <w:rFonts w:ascii="Arial" w:hAnsi="Arial" w:cs="Arial"/>
          <w:b/>
          <w:sz w:val="16"/>
          <w:szCs w:val="16"/>
        </w:rPr>
      </w:pPr>
    </w:p>
    <w:p w14:paraId="2E9AA6CD" w14:textId="77777777" w:rsidR="00E26EB3" w:rsidRDefault="00B13E3F" w:rsidP="00B13E3F">
      <w:pPr>
        <w:pStyle w:val="Prrafodelista"/>
        <w:numPr>
          <w:ilvl w:val="0"/>
          <w:numId w:val="8"/>
        </w:numPr>
        <w:tabs>
          <w:tab w:val="left" w:pos="567"/>
        </w:tabs>
        <w:jc w:val="both"/>
        <w:rPr>
          <w:rFonts w:ascii="Arial" w:hAnsi="Arial" w:cs="Arial"/>
          <w:b/>
          <w:sz w:val="16"/>
          <w:szCs w:val="16"/>
        </w:rPr>
      </w:pPr>
      <w:r w:rsidRPr="00E26EB3">
        <w:rPr>
          <w:rFonts w:ascii="Arial" w:hAnsi="Arial" w:cs="Arial"/>
          <w:b/>
          <w:sz w:val="16"/>
          <w:szCs w:val="16"/>
        </w:rPr>
        <w:t>Información interna, políticas de inversión</w:t>
      </w:r>
    </w:p>
    <w:p w14:paraId="02E8E8B6" w14:textId="6DD20F1C" w:rsidR="00B13E3F" w:rsidRPr="00E26EB3" w:rsidRDefault="00B13E3F" w:rsidP="00B13E3F">
      <w:pPr>
        <w:pStyle w:val="Prrafodelista"/>
        <w:numPr>
          <w:ilvl w:val="0"/>
          <w:numId w:val="8"/>
        </w:numPr>
        <w:tabs>
          <w:tab w:val="left" w:pos="567"/>
        </w:tabs>
        <w:jc w:val="both"/>
        <w:rPr>
          <w:rFonts w:ascii="Arial" w:hAnsi="Arial" w:cs="Arial"/>
          <w:b/>
          <w:sz w:val="16"/>
          <w:szCs w:val="16"/>
        </w:rPr>
      </w:pPr>
      <w:r w:rsidRPr="00E26EB3">
        <w:rPr>
          <w:rFonts w:ascii="Arial" w:hAnsi="Arial" w:cs="Arial"/>
          <w:b/>
          <w:sz w:val="16"/>
          <w:szCs w:val="16"/>
        </w:rPr>
        <w:t>Fondo verde para el clima Green Climate Fund</w:t>
      </w:r>
    </w:p>
    <w:p w14:paraId="3C34371B" w14:textId="77777777" w:rsidR="00B13E3F" w:rsidRPr="00B13E3F" w:rsidRDefault="00B13E3F" w:rsidP="00B13E3F">
      <w:pPr>
        <w:tabs>
          <w:tab w:val="left" w:pos="567"/>
        </w:tabs>
        <w:contextualSpacing/>
        <w:jc w:val="both"/>
        <w:rPr>
          <w:rFonts w:ascii="Arial" w:hAnsi="Arial" w:cs="Arial"/>
          <w:b/>
          <w:sz w:val="16"/>
          <w:szCs w:val="16"/>
        </w:rPr>
      </w:pPr>
    </w:p>
    <w:p w14:paraId="3A32C800" w14:textId="19CA8724" w:rsidR="00B13E3F" w:rsidRPr="00B13E3F" w:rsidRDefault="00E26EB3" w:rsidP="00B13E3F">
      <w:pPr>
        <w:tabs>
          <w:tab w:val="left" w:pos="567"/>
        </w:tabs>
        <w:contextualSpacing/>
        <w:jc w:val="both"/>
        <w:rPr>
          <w:rFonts w:ascii="Arial" w:hAnsi="Arial" w:cs="Arial"/>
          <w:b/>
          <w:sz w:val="16"/>
          <w:szCs w:val="16"/>
        </w:rPr>
      </w:pPr>
      <w:r>
        <w:rPr>
          <w:rFonts w:ascii="Arial" w:hAnsi="Arial" w:cs="Arial"/>
          <w:b/>
          <w:sz w:val="16"/>
          <w:szCs w:val="16"/>
        </w:rPr>
        <w:t xml:space="preserve">2.7.6. </w:t>
      </w:r>
      <w:r w:rsidR="00B13E3F" w:rsidRPr="00B13E3F">
        <w:rPr>
          <w:rFonts w:ascii="Arial" w:hAnsi="Arial" w:cs="Arial"/>
          <w:b/>
          <w:sz w:val="16"/>
          <w:szCs w:val="16"/>
        </w:rPr>
        <w:t xml:space="preserve">Cobertura: </w:t>
      </w:r>
      <w:r w:rsidR="00FA2D0C">
        <w:rPr>
          <w:rFonts w:ascii="Arial" w:hAnsi="Arial" w:cs="Arial"/>
          <w:b/>
          <w:sz w:val="16"/>
          <w:szCs w:val="16"/>
        </w:rPr>
        <w:t>El indicador se puede calcular a nivel i</w:t>
      </w:r>
      <w:r w:rsidR="00FA2D0C" w:rsidRPr="00B13E3F">
        <w:rPr>
          <w:rFonts w:ascii="Arial" w:hAnsi="Arial" w:cs="Arial"/>
          <w:b/>
          <w:sz w:val="16"/>
          <w:szCs w:val="16"/>
        </w:rPr>
        <w:t>nstitucional</w:t>
      </w:r>
      <w:r w:rsidR="00FA2D0C">
        <w:rPr>
          <w:rFonts w:ascii="Arial" w:hAnsi="Arial" w:cs="Arial"/>
          <w:b/>
          <w:sz w:val="16"/>
          <w:szCs w:val="16"/>
        </w:rPr>
        <w:t xml:space="preserve"> o nacional. </w:t>
      </w:r>
    </w:p>
    <w:p w14:paraId="2ADD3891" w14:textId="77777777" w:rsidR="00B13E3F" w:rsidRPr="00B13E3F" w:rsidRDefault="00B13E3F" w:rsidP="00B13E3F">
      <w:pPr>
        <w:tabs>
          <w:tab w:val="left" w:pos="567"/>
        </w:tabs>
        <w:contextualSpacing/>
        <w:jc w:val="both"/>
        <w:rPr>
          <w:rFonts w:ascii="Arial" w:hAnsi="Arial" w:cs="Arial"/>
          <w:b/>
          <w:sz w:val="16"/>
          <w:szCs w:val="16"/>
        </w:rPr>
      </w:pPr>
    </w:p>
    <w:p w14:paraId="22673C3A" w14:textId="77777777" w:rsidR="00E26EB3" w:rsidRDefault="00E26EB3" w:rsidP="00B13E3F">
      <w:pPr>
        <w:tabs>
          <w:tab w:val="left" w:pos="567"/>
        </w:tabs>
        <w:contextualSpacing/>
        <w:jc w:val="both"/>
        <w:rPr>
          <w:rFonts w:ascii="Arial" w:hAnsi="Arial" w:cs="Arial"/>
          <w:b/>
          <w:sz w:val="16"/>
          <w:szCs w:val="16"/>
        </w:rPr>
      </w:pPr>
    </w:p>
    <w:p w14:paraId="03CFE613" w14:textId="120AD542" w:rsidR="00B13E3F" w:rsidRPr="00B13E3F" w:rsidRDefault="00E26EB3" w:rsidP="00B13E3F">
      <w:pPr>
        <w:tabs>
          <w:tab w:val="left" w:pos="567"/>
        </w:tabs>
        <w:contextualSpacing/>
        <w:jc w:val="both"/>
        <w:rPr>
          <w:rFonts w:ascii="Arial" w:hAnsi="Arial" w:cs="Arial"/>
          <w:b/>
          <w:sz w:val="16"/>
          <w:szCs w:val="16"/>
        </w:rPr>
      </w:pPr>
      <w:r>
        <w:rPr>
          <w:rFonts w:ascii="Arial" w:hAnsi="Arial" w:cs="Arial"/>
          <w:b/>
          <w:sz w:val="16"/>
          <w:szCs w:val="16"/>
        </w:rPr>
        <w:t xml:space="preserve">2.8. </w:t>
      </w:r>
      <w:r w:rsidR="00B13E3F" w:rsidRPr="00B13E3F">
        <w:rPr>
          <w:rFonts w:ascii="Arial" w:hAnsi="Arial" w:cs="Arial" w:hint="eastAsia"/>
          <w:b/>
          <w:sz w:val="16"/>
          <w:szCs w:val="16"/>
        </w:rPr>
        <w:t>Í</w:t>
      </w:r>
      <w:r w:rsidR="00B13E3F" w:rsidRPr="00B13E3F">
        <w:rPr>
          <w:rFonts w:ascii="Arial" w:hAnsi="Arial" w:cs="Arial"/>
          <w:b/>
          <w:sz w:val="16"/>
          <w:szCs w:val="16"/>
        </w:rPr>
        <w:t>ndice de Financiación Combinada para Clima (IFCC)</w:t>
      </w:r>
    </w:p>
    <w:p w14:paraId="59BA20BF" w14:textId="77777777" w:rsidR="00B13E3F" w:rsidRPr="00B13E3F" w:rsidRDefault="00B13E3F" w:rsidP="00B13E3F">
      <w:pPr>
        <w:tabs>
          <w:tab w:val="left" w:pos="567"/>
        </w:tabs>
        <w:contextualSpacing/>
        <w:jc w:val="both"/>
        <w:rPr>
          <w:rFonts w:ascii="Arial" w:hAnsi="Arial" w:cs="Arial"/>
          <w:b/>
          <w:sz w:val="16"/>
          <w:szCs w:val="16"/>
        </w:rPr>
      </w:pPr>
    </w:p>
    <w:p w14:paraId="548721EB" w14:textId="5EF22049" w:rsidR="00B13E3F" w:rsidRPr="00B13E3F" w:rsidRDefault="00FE776C" w:rsidP="00B13E3F">
      <w:pPr>
        <w:tabs>
          <w:tab w:val="left" w:pos="567"/>
        </w:tabs>
        <w:contextualSpacing/>
        <w:jc w:val="both"/>
        <w:rPr>
          <w:rFonts w:ascii="Arial" w:hAnsi="Arial" w:cs="Arial"/>
          <w:b/>
          <w:sz w:val="16"/>
          <w:szCs w:val="16"/>
        </w:rPr>
      </w:pPr>
      <w:r>
        <w:rPr>
          <w:rFonts w:ascii="Arial" w:hAnsi="Arial" w:cs="Arial"/>
          <w:b/>
          <w:sz w:val="16"/>
          <w:szCs w:val="16"/>
        </w:rPr>
        <w:t xml:space="preserve">2.8.1. </w:t>
      </w:r>
      <w:r w:rsidR="00B13E3F" w:rsidRPr="00B13E3F">
        <w:rPr>
          <w:rFonts w:ascii="Arial" w:hAnsi="Arial" w:cs="Arial"/>
          <w:b/>
          <w:sz w:val="16"/>
          <w:szCs w:val="16"/>
        </w:rPr>
        <w:t xml:space="preserve">Tipo de indicador: </w:t>
      </w:r>
      <w:r w:rsidR="001F394F">
        <w:rPr>
          <w:rFonts w:ascii="Arial" w:hAnsi="Arial" w:cs="Arial"/>
          <w:b/>
          <w:sz w:val="16"/>
          <w:szCs w:val="16"/>
        </w:rPr>
        <w:t>e</w:t>
      </w:r>
      <w:r w:rsidR="00B13E3F" w:rsidRPr="00B13E3F">
        <w:rPr>
          <w:rFonts w:ascii="Arial" w:hAnsi="Arial" w:cs="Arial"/>
          <w:b/>
          <w:sz w:val="16"/>
          <w:szCs w:val="16"/>
        </w:rPr>
        <w:t>structura financiera.</w:t>
      </w:r>
    </w:p>
    <w:p w14:paraId="5F2D08BD" w14:textId="77777777" w:rsidR="00B13E3F" w:rsidRPr="00B13E3F" w:rsidRDefault="00B13E3F" w:rsidP="00B13E3F">
      <w:pPr>
        <w:tabs>
          <w:tab w:val="left" w:pos="567"/>
        </w:tabs>
        <w:contextualSpacing/>
        <w:jc w:val="both"/>
        <w:rPr>
          <w:rFonts w:ascii="Arial" w:hAnsi="Arial" w:cs="Arial"/>
          <w:b/>
          <w:sz w:val="16"/>
          <w:szCs w:val="16"/>
        </w:rPr>
      </w:pPr>
    </w:p>
    <w:p w14:paraId="32E7D3DB" w14:textId="1DEC565F" w:rsidR="00B13E3F" w:rsidRDefault="00881B78" w:rsidP="00B13E3F">
      <w:pPr>
        <w:tabs>
          <w:tab w:val="left" w:pos="567"/>
        </w:tabs>
        <w:contextualSpacing/>
        <w:jc w:val="both"/>
        <w:rPr>
          <w:rFonts w:ascii="Arial" w:hAnsi="Arial" w:cs="Arial"/>
          <w:b/>
          <w:sz w:val="16"/>
          <w:szCs w:val="16"/>
        </w:rPr>
      </w:pPr>
      <w:r>
        <w:rPr>
          <w:rFonts w:ascii="Arial" w:hAnsi="Arial" w:cs="Arial"/>
          <w:b/>
          <w:sz w:val="16"/>
          <w:szCs w:val="16"/>
        </w:rPr>
        <w:t xml:space="preserve">2.8.2. </w:t>
      </w:r>
      <w:r w:rsidR="00B13E3F" w:rsidRPr="00B13E3F">
        <w:rPr>
          <w:rFonts w:ascii="Arial" w:hAnsi="Arial" w:cs="Arial"/>
          <w:b/>
          <w:sz w:val="16"/>
          <w:szCs w:val="16"/>
        </w:rPr>
        <w:t xml:space="preserve">Propósito: </w:t>
      </w:r>
      <w:r>
        <w:rPr>
          <w:rFonts w:ascii="Arial" w:hAnsi="Arial" w:cs="Arial"/>
          <w:b/>
          <w:sz w:val="16"/>
          <w:szCs w:val="16"/>
        </w:rPr>
        <w:t>m</w:t>
      </w:r>
      <w:r w:rsidR="00B13E3F" w:rsidRPr="00B13E3F">
        <w:rPr>
          <w:rFonts w:ascii="Arial" w:hAnsi="Arial" w:cs="Arial"/>
          <w:b/>
          <w:sz w:val="16"/>
          <w:szCs w:val="16"/>
        </w:rPr>
        <w:t>ide el nivel de apalancamiento logrado por la entidad al integrar recursos no reembolsables en la financiación de proyectos con impacto climático. Este indicador refleja el grado de apalancamiento institucional con recursos de cooperación multilateral, fondos internacionales y en general financiamiento climático.</w:t>
      </w:r>
    </w:p>
    <w:p w14:paraId="7E36CE78" w14:textId="77777777" w:rsidR="008C3D3A" w:rsidRDefault="008C3D3A" w:rsidP="00B13E3F">
      <w:pPr>
        <w:tabs>
          <w:tab w:val="left" w:pos="567"/>
        </w:tabs>
        <w:contextualSpacing/>
        <w:jc w:val="both"/>
        <w:rPr>
          <w:rFonts w:ascii="Arial" w:hAnsi="Arial" w:cs="Arial"/>
          <w:b/>
          <w:sz w:val="16"/>
          <w:szCs w:val="16"/>
        </w:rPr>
      </w:pPr>
    </w:p>
    <w:p w14:paraId="433B26BE" w14:textId="77777777" w:rsidR="008C3D3A" w:rsidRPr="00B13E3F" w:rsidRDefault="008C3D3A" w:rsidP="008C3D3A">
      <w:pPr>
        <w:tabs>
          <w:tab w:val="left" w:pos="567"/>
        </w:tabs>
        <w:contextualSpacing/>
        <w:jc w:val="both"/>
        <w:rPr>
          <w:rFonts w:ascii="Arial" w:hAnsi="Arial" w:cs="Arial"/>
          <w:b/>
          <w:sz w:val="16"/>
          <w:szCs w:val="16"/>
        </w:rPr>
      </w:pPr>
      <w:r>
        <w:rPr>
          <w:rFonts w:ascii="Arial" w:hAnsi="Arial" w:cs="Arial"/>
          <w:b/>
          <w:sz w:val="16"/>
          <w:szCs w:val="16"/>
        </w:rPr>
        <w:t>Este indicador puede ser utilizado por los e</w:t>
      </w:r>
      <w:r w:rsidRPr="00B13E3F">
        <w:rPr>
          <w:rFonts w:ascii="Arial" w:hAnsi="Arial" w:cs="Arial"/>
          <w:b/>
          <w:sz w:val="16"/>
          <w:szCs w:val="16"/>
        </w:rPr>
        <w:t xml:space="preserve">stablecimientos de </w:t>
      </w:r>
      <w:r>
        <w:rPr>
          <w:rFonts w:ascii="Arial" w:hAnsi="Arial" w:cs="Arial"/>
          <w:b/>
          <w:sz w:val="16"/>
          <w:szCs w:val="16"/>
        </w:rPr>
        <w:t>c</w:t>
      </w:r>
      <w:r w:rsidRPr="00B13E3F">
        <w:rPr>
          <w:rFonts w:ascii="Arial" w:hAnsi="Arial" w:cs="Arial"/>
          <w:b/>
          <w:sz w:val="16"/>
          <w:szCs w:val="16"/>
        </w:rPr>
        <w:t>rédito</w:t>
      </w:r>
      <w:r>
        <w:rPr>
          <w:rFonts w:ascii="Arial" w:hAnsi="Arial" w:cs="Arial"/>
          <w:b/>
          <w:sz w:val="16"/>
          <w:szCs w:val="16"/>
        </w:rPr>
        <w:t>, las entidades a</w:t>
      </w:r>
      <w:r w:rsidRPr="00B13E3F">
        <w:rPr>
          <w:rFonts w:ascii="Arial" w:hAnsi="Arial" w:cs="Arial"/>
          <w:b/>
          <w:sz w:val="16"/>
          <w:szCs w:val="16"/>
        </w:rPr>
        <w:t>seguradoras y</w:t>
      </w:r>
      <w:r>
        <w:rPr>
          <w:rFonts w:ascii="Arial" w:hAnsi="Arial" w:cs="Arial"/>
          <w:b/>
          <w:sz w:val="16"/>
          <w:szCs w:val="16"/>
        </w:rPr>
        <w:t xml:space="preserve"> las entidades que administran recursos de terceros. </w:t>
      </w:r>
    </w:p>
    <w:p w14:paraId="02B738DA" w14:textId="77777777" w:rsidR="00B13E3F" w:rsidRPr="00B13E3F" w:rsidRDefault="00B13E3F" w:rsidP="00B13E3F">
      <w:pPr>
        <w:tabs>
          <w:tab w:val="left" w:pos="567"/>
        </w:tabs>
        <w:contextualSpacing/>
        <w:jc w:val="both"/>
        <w:rPr>
          <w:rFonts w:ascii="Arial" w:hAnsi="Arial" w:cs="Arial"/>
          <w:b/>
          <w:sz w:val="16"/>
          <w:szCs w:val="16"/>
        </w:rPr>
      </w:pPr>
    </w:p>
    <w:p w14:paraId="4A0CB0D4" w14:textId="5C86C2E3" w:rsidR="00B13E3F" w:rsidRPr="00B13E3F" w:rsidRDefault="00881B78" w:rsidP="00B13E3F">
      <w:pPr>
        <w:tabs>
          <w:tab w:val="left" w:pos="567"/>
        </w:tabs>
        <w:contextualSpacing/>
        <w:jc w:val="both"/>
        <w:rPr>
          <w:rFonts w:ascii="Arial" w:hAnsi="Arial" w:cs="Arial"/>
          <w:b/>
          <w:sz w:val="16"/>
          <w:szCs w:val="16"/>
        </w:rPr>
      </w:pPr>
      <w:r>
        <w:rPr>
          <w:rFonts w:ascii="Arial" w:hAnsi="Arial" w:cs="Arial"/>
          <w:b/>
          <w:sz w:val="16"/>
          <w:szCs w:val="16"/>
        </w:rPr>
        <w:t xml:space="preserve">2.8.3. </w:t>
      </w:r>
      <w:r w:rsidR="00B13E3F" w:rsidRPr="00B13E3F">
        <w:rPr>
          <w:rFonts w:ascii="Arial" w:hAnsi="Arial" w:cs="Arial"/>
          <w:b/>
          <w:sz w:val="16"/>
          <w:szCs w:val="16"/>
        </w:rPr>
        <w:t>Fórmula:</w:t>
      </w:r>
    </w:p>
    <w:p w14:paraId="63E8803E" w14:textId="77777777" w:rsidR="00B13E3F" w:rsidRPr="00B13E3F" w:rsidRDefault="00B13E3F" w:rsidP="00B13E3F">
      <w:pPr>
        <w:tabs>
          <w:tab w:val="left" w:pos="567"/>
        </w:tabs>
        <w:contextualSpacing/>
        <w:jc w:val="both"/>
        <w:rPr>
          <w:rFonts w:ascii="Arial" w:hAnsi="Arial" w:cs="Arial"/>
          <w:b/>
          <w:sz w:val="16"/>
          <w:szCs w:val="16"/>
        </w:rPr>
      </w:pPr>
    </w:p>
    <w:p w14:paraId="2FD6C390" w14:textId="4408895A" w:rsidR="003A29EA" w:rsidRPr="00AF526F" w:rsidRDefault="003A29EA" w:rsidP="003A29EA">
      <w:pPr>
        <w:jc w:val="both"/>
        <w:rPr>
          <w:rFonts w:ascii="Verdana" w:hAnsi="Verdana"/>
          <w:sz w:val="22"/>
          <w:szCs w:val="22"/>
        </w:rPr>
      </w:pPr>
      <m:oMathPara>
        <m:oMath>
          <m:r>
            <m:rPr>
              <m:sty m:val="bi"/>
            </m:rPr>
            <w:rPr>
              <w:rFonts w:ascii="Cambria Math" w:hAnsi="Cambria Math"/>
              <w:sz w:val="16"/>
              <w:szCs w:val="16"/>
            </w:rPr>
            <m:t>IFCC</m:t>
          </m:r>
          <m:r>
            <m:rPr>
              <m:sty m:val="bi"/>
            </m:rPr>
            <w:rPr>
              <w:rFonts w:ascii="Cambria Math" w:hAnsi="Cambria Math" w:cs="Cambria Math"/>
              <w:sz w:val="16"/>
              <w:szCs w:val="16"/>
            </w:rPr>
            <m:t>=</m:t>
          </m:r>
          <m:f>
            <m:fPr>
              <m:ctrlPr>
                <w:rPr>
                  <w:rFonts w:ascii="Cambria Math" w:hAnsi="Cambria Math"/>
                  <w:b/>
                  <w:bCs/>
                  <w:i/>
                  <w:sz w:val="16"/>
                  <w:szCs w:val="16"/>
                </w:rPr>
              </m:ctrlPr>
            </m:fPr>
            <m:num>
              <m:r>
                <m:rPr>
                  <m:sty m:val="bi"/>
                </m:rPr>
                <w:rPr>
                  <w:rFonts w:ascii="Cambria Math" w:hAnsi="Cambria Math" w:cs="Cambria Math"/>
                  <w:sz w:val="16"/>
                  <w:szCs w:val="16"/>
                </w:rPr>
                <m:t>Recursos  no reembolsables</m:t>
              </m:r>
            </m:num>
            <m:den>
              <m:r>
                <m:rPr>
                  <m:sty m:val="bi"/>
                </m:rPr>
                <w:rPr>
                  <w:rFonts w:ascii="Cambria Math" w:hAnsi="Cambria Math" w:cs="Cambria Math"/>
                  <w:sz w:val="16"/>
                  <w:szCs w:val="16"/>
                </w:rPr>
                <m:t>Total del portafolio o cartera climática</m:t>
              </m:r>
            </m:den>
          </m:f>
          <m:r>
            <m:rPr>
              <m:sty m:val="bi"/>
            </m:rPr>
            <w:rPr>
              <w:rFonts w:ascii="Cambria Math" w:hAnsi="Cambria Math"/>
              <w:sz w:val="16"/>
              <w:szCs w:val="16"/>
            </w:rPr>
            <m:t>*100</m:t>
          </m:r>
        </m:oMath>
      </m:oMathPara>
    </w:p>
    <w:p w14:paraId="59193571" w14:textId="77777777" w:rsidR="00B13E3F" w:rsidRPr="00B13E3F" w:rsidRDefault="00B13E3F" w:rsidP="00B13E3F">
      <w:pPr>
        <w:tabs>
          <w:tab w:val="left" w:pos="567"/>
        </w:tabs>
        <w:contextualSpacing/>
        <w:jc w:val="both"/>
        <w:rPr>
          <w:rFonts w:ascii="Arial" w:hAnsi="Arial" w:cs="Arial"/>
          <w:b/>
          <w:sz w:val="16"/>
          <w:szCs w:val="16"/>
        </w:rPr>
      </w:pPr>
    </w:p>
    <w:p w14:paraId="372402C6" w14:textId="77777777"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El índice se presenta como porcentaje y su medición puede ser anual, o en caso coyuntural se podrá realizar a consideración de la entidad.</w:t>
      </w:r>
    </w:p>
    <w:p w14:paraId="7B8B2DC8" w14:textId="77777777" w:rsidR="00B13E3F" w:rsidRPr="00B13E3F" w:rsidRDefault="00B13E3F" w:rsidP="00B13E3F">
      <w:pPr>
        <w:tabs>
          <w:tab w:val="left" w:pos="567"/>
        </w:tabs>
        <w:contextualSpacing/>
        <w:jc w:val="both"/>
        <w:rPr>
          <w:rFonts w:ascii="Arial" w:hAnsi="Arial" w:cs="Arial"/>
          <w:b/>
          <w:sz w:val="16"/>
          <w:szCs w:val="16"/>
        </w:rPr>
      </w:pPr>
    </w:p>
    <w:p w14:paraId="25685947" w14:textId="55918DB3" w:rsidR="00B13E3F" w:rsidRPr="00B13E3F" w:rsidRDefault="00881B78" w:rsidP="00B13E3F">
      <w:pPr>
        <w:tabs>
          <w:tab w:val="left" w:pos="567"/>
        </w:tabs>
        <w:contextualSpacing/>
        <w:jc w:val="both"/>
        <w:rPr>
          <w:rFonts w:ascii="Arial" w:hAnsi="Arial" w:cs="Arial"/>
          <w:b/>
          <w:sz w:val="16"/>
          <w:szCs w:val="16"/>
        </w:rPr>
      </w:pPr>
      <w:r>
        <w:rPr>
          <w:rFonts w:ascii="Arial" w:hAnsi="Arial" w:cs="Arial"/>
          <w:b/>
          <w:sz w:val="16"/>
          <w:szCs w:val="16"/>
        </w:rPr>
        <w:t xml:space="preserve">2.8.4. </w:t>
      </w:r>
      <w:r w:rsidR="00B13E3F" w:rsidRPr="00B13E3F">
        <w:rPr>
          <w:rFonts w:ascii="Arial" w:hAnsi="Arial" w:cs="Arial"/>
          <w:b/>
          <w:sz w:val="16"/>
          <w:szCs w:val="16"/>
        </w:rPr>
        <w:t xml:space="preserve">Variables: </w:t>
      </w:r>
    </w:p>
    <w:p w14:paraId="2F35C9F1" w14:textId="77777777" w:rsidR="00B13E3F" w:rsidRPr="00B13E3F" w:rsidRDefault="00B13E3F" w:rsidP="00B13E3F">
      <w:pPr>
        <w:tabs>
          <w:tab w:val="left" w:pos="567"/>
        </w:tabs>
        <w:contextualSpacing/>
        <w:jc w:val="both"/>
        <w:rPr>
          <w:rFonts w:ascii="Arial" w:hAnsi="Arial" w:cs="Arial"/>
          <w:b/>
          <w:sz w:val="16"/>
          <w:szCs w:val="16"/>
        </w:rPr>
      </w:pPr>
    </w:p>
    <w:p w14:paraId="3D90F187" w14:textId="5FD5B07C" w:rsidR="00B13E3F" w:rsidRPr="00B13E3F" w:rsidRDefault="001A0C26" w:rsidP="00B13E3F">
      <w:pPr>
        <w:tabs>
          <w:tab w:val="left" w:pos="567"/>
        </w:tabs>
        <w:contextualSpacing/>
        <w:jc w:val="both"/>
        <w:rPr>
          <w:rFonts w:ascii="Arial" w:hAnsi="Arial" w:cs="Arial"/>
          <w:b/>
          <w:sz w:val="16"/>
          <w:szCs w:val="16"/>
        </w:rPr>
      </w:pPr>
      <m:oMath>
        <m:r>
          <m:rPr>
            <m:sty m:val="bi"/>
          </m:rPr>
          <w:rPr>
            <w:rFonts w:ascii="Cambria Math" w:hAnsi="Cambria Math" w:cs="Cambria Math"/>
            <w:sz w:val="16"/>
            <w:szCs w:val="16"/>
          </w:rPr>
          <m:t>Recursos  no reembolsables</m:t>
        </m:r>
      </m:oMath>
      <w:r>
        <w:rPr>
          <w:rFonts w:ascii="Arial" w:hAnsi="Arial" w:cs="Arial"/>
          <w:b/>
          <w:bCs/>
          <w:sz w:val="16"/>
          <w:szCs w:val="16"/>
        </w:rPr>
        <w:t>:</w:t>
      </w:r>
      <w:r w:rsidRPr="00B13E3F">
        <w:rPr>
          <w:rFonts w:ascii="Arial" w:hAnsi="Arial" w:cs="Arial"/>
          <w:b/>
          <w:sz w:val="16"/>
          <w:szCs w:val="16"/>
        </w:rPr>
        <w:t xml:space="preserve"> </w:t>
      </w:r>
      <w:r w:rsidR="00B13E3F" w:rsidRPr="00B13E3F">
        <w:rPr>
          <w:rFonts w:ascii="Arial" w:hAnsi="Arial" w:cs="Arial"/>
          <w:b/>
          <w:sz w:val="16"/>
          <w:szCs w:val="16"/>
        </w:rPr>
        <w:t>recursos climáticos obtenidos con condiciones financieras favorables (donaciones, subsidios, préstamos blandos, garantías) provenientes de cooperación bilateral o multilateral.</w:t>
      </w:r>
    </w:p>
    <w:p w14:paraId="7C8E8CC0" w14:textId="77777777" w:rsidR="00B13E3F" w:rsidRPr="00B13E3F" w:rsidRDefault="00B13E3F" w:rsidP="00B13E3F">
      <w:pPr>
        <w:tabs>
          <w:tab w:val="left" w:pos="567"/>
        </w:tabs>
        <w:contextualSpacing/>
        <w:jc w:val="both"/>
        <w:rPr>
          <w:rFonts w:ascii="Arial" w:hAnsi="Arial" w:cs="Arial"/>
          <w:b/>
          <w:sz w:val="16"/>
          <w:szCs w:val="16"/>
        </w:rPr>
      </w:pPr>
    </w:p>
    <w:p w14:paraId="7A8546C7" w14:textId="2A05A988" w:rsidR="004F2FBF" w:rsidRPr="00B13E3F" w:rsidRDefault="007D0AF9" w:rsidP="00B13E3F">
      <w:pPr>
        <w:tabs>
          <w:tab w:val="left" w:pos="567"/>
        </w:tabs>
        <w:contextualSpacing/>
        <w:jc w:val="both"/>
        <w:rPr>
          <w:rFonts w:ascii="Arial" w:hAnsi="Arial" w:cs="Arial"/>
          <w:b/>
          <w:sz w:val="16"/>
          <w:szCs w:val="16"/>
        </w:rPr>
      </w:pPr>
      <m:oMath>
        <m:r>
          <m:rPr>
            <m:sty m:val="bi"/>
          </m:rPr>
          <w:rPr>
            <w:rFonts w:ascii="Cambria Math" w:hAnsi="Cambria Math" w:cs="Cambria Math"/>
            <w:sz w:val="16"/>
            <w:szCs w:val="16"/>
          </w:rPr>
          <m:t>Total del portafolio o cartera climática</m:t>
        </m:r>
      </m:oMath>
      <w:r>
        <w:rPr>
          <w:rFonts w:ascii="Arial" w:hAnsi="Arial" w:cs="Arial"/>
          <w:b/>
          <w:bCs/>
          <w:sz w:val="16"/>
          <w:szCs w:val="16"/>
        </w:rPr>
        <w:t>:</w:t>
      </w:r>
      <w:r w:rsidRPr="00B13E3F">
        <w:rPr>
          <w:rFonts w:ascii="Arial" w:hAnsi="Arial" w:cs="Arial"/>
          <w:b/>
          <w:sz w:val="16"/>
          <w:szCs w:val="16"/>
        </w:rPr>
        <w:t xml:space="preserve"> </w:t>
      </w:r>
      <w:r w:rsidR="006200B8">
        <w:rPr>
          <w:rFonts w:ascii="Arial" w:hAnsi="Arial" w:cs="Arial"/>
          <w:b/>
          <w:sz w:val="16"/>
          <w:szCs w:val="16"/>
        </w:rPr>
        <w:t>m</w:t>
      </w:r>
      <w:r w:rsidR="00B13E3F" w:rsidRPr="00B13E3F">
        <w:rPr>
          <w:rFonts w:ascii="Arial" w:hAnsi="Arial" w:cs="Arial"/>
          <w:b/>
          <w:sz w:val="16"/>
          <w:szCs w:val="16"/>
        </w:rPr>
        <w:t xml:space="preserve">onto agregado de las inversiones, proyectos o productos financieros orientados a la acción climática financiados por la entidad. </w:t>
      </w:r>
    </w:p>
    <w:p w14:paraId="43FB2826" w14:textId="77777777" w:rsidR="00B13E3F" w:rsidRDefault="00B13E3F" w:rsidP="00B13E3F">
      <w:pPr>
        <w:tabs>
          <w:tab w:val="left" w:pos="567"/>
        </w:tabs>
        <w:contextualSpacing/>
        <w:jc w:val="both"/>
        <w:rPr>
          <w:rFonts w:ascii="Arial" w:hAnsi="Arial" w:cs="Arial"/>
          <w:b/>
          <w:sz w:val="16"/>
          <w:szCs w:val="16"/>
        </w:rPr>
      </w:pPr>
    </w:p>
    <w:p w14:paraId="2D0E2D32" w14:textId="77777777" w:rsidR="00B83B11" w:rsidRDefault="00B83B11" w:rsidP="00B13E3F">
      <w:pPr>
        <w:tabs>
          <w:tab w:val="left" w:pos="567"/>
        </w:tabs>
        <w:contextualSpacing/>
        <w:jc w:val="both"/>
        <w:rPr>
          <w:rFonts w:ascii="Arial" w:hAnsi="Arial" w:cs="Arial"/>
          <w:b/>
          <w:sz w:val="16"/>
          <w:szCs w:val="16"/>
        </w:rPr>
      </w:pPr>
    </w:p>
    <w:p w14:paraId="5D65ECDE" w14:textId="77777777" w:rsidR="00B83B11" w:rsidRPr="00B13E3F" w:rsidRDefault="00B83B11" w:rsidP="00B13E3F">
      <w:pPr>
        <w:tabs>
          <w:tab w:val="left" w:pos="567"/>
        </w:tabs>
        <w:contextualSpacing/>
        <w:jc w:val="both"/>
        <w:rPr>
          <w:rFonts w:ascii="Arial" w:hAnsi="Arial" w:cs="Arial"/>
          <w:b/>
          <w:sz w:val="16"/>
          <w:szCs w:val="16"/>
        </w:rPr>
      </w:pPr>
    </w:p>
    <w:p w14:paraId="1540179E" w14:textId="1851D7D7" w:rsidR="00B13E3F" w:rsidRPr="00B13E3F" w:rsidRDefault="00881B78" w:rsidP="00B13E3F">
      <w:pPr>
        <w:tabs>
          <w:tab w:val="left" w:pos="567"/>
        </w:tabs>
        <w:contextualSpacing/>
        <w:jc w:val="both"/>
        <w:rPr>
          <w:rFonts w:ascii="Arial" w:hAnsi="Arial" w:cs="Arial"/>
          <w:b/>
          <w:sz w:val="16"/>
          <w:szCs w:val="16"/>
        </w:rPr>
      </w:pPr>
      <w:r>
        <w:rPr>
          <w:rFonts w:ascii="Arial" w:hAnsi="Arial" w:cs="Arial"/>
          <w:b/>
          <w:sz w:val="16"/>
          <w:szCs w:val="16"/>
        </w:rPr>
        <w:lastRenderedPageBreak/>
        <w:t xml:space="preserve">2.8.6. </w:t>
      </w:r>
      <w:r w:rsidR="00B13E3F" w:rsidRPr="00B13E3F">
        <w:rPr>
          <w:rFonts w:ascii="Arial" w:hAnsi="Arial" w:cs="Arial"/>
          <w:b/>
          <w:sz w:val="16"/>
          <w:szCs w:val="16"/>
        </w:rPr>
        <w:t xml:space="preserve">Fuente: </w:t>
      </w:r>
    </w:p>
    <w:p w14:paraId="56D6CBC2" w14:textId="77777777" w:rsidR="00B13E3F" w:rsidRPr="00B13E3F" w:rsidRDefault="00B13E3F" w:rsidP="00B13E3F">
      <w:pPr>
        <w:tabs>
          <w:tab w:val="left" w:pos="567"/>
        </w:tabs>
        <w:contextualSpacing/>
        <w:jc w:val="both"/>
        <w:rPr>
          <w:rFonts w:ascii="Arial" w:hAnsi="Arial" w:cs="Arial"/>
          <w:b/>
          <w:sz w:val="16"/>
          <w:szCs w:val="16"/>
        </w:rPr>
      </w:pPr>
    </w:p>
    <w:p w14:paraId="0953B6A2" w14:textId="2EFE08E3" w:rsidR="00B13E3F" w:rsidRPr="00B13E3F" w:rsidRDefault="00B13E3F" w:rsidP="00B13E3F">
      <w:pPr>
        <w:tabs>
          <w:tab w:val="left" w:pos="567"/>
        </w:tabs>
        <w:contextualSpacing/>
        <w:jc w:val="both"/>
        <w:rPr>
          <w:rFonts w:ascii="Arial" w:hAnsi="Arial" w:cs="Arial"/>
          <w:b/>
          <w:sz w:val="16"/>
          <w:szCs w:val="16"/>
        </w:rPr>
      </w:pPr>
      <w:r w:rsidRPr="00B13E3F">
        <w:rPr>
          <w:rFonts w:ascii="Arial" w:hAnsi="Arial" w:cs="Arial"/>
          <w:b/>
          <w:sz w:val="16"/>
          <w:szCs w:val="16"/>
        </w:rPr>
        <w:t>Cálculo propio con datos de la entidad, de acuerdo con su información sobre estructuración financiera de proyectos y la relación con entidades multilaterales.</w:t>
      </w:r>
    </w:p>
    <w:p w14:paraId="6B922091" w14:textId="77777777" w:rsidR="00B13E3F" w:rsidRPr="00B13E3F" w:rsidRDefault="00B13E3F" w:rsidP="00B13E3F">
      <w:pPr>
        <w:tabs>
          <w:tab w:val="left" w:pos="567"/>
        </w:tabs>
        <w:contextualSpacing/>
        <w:jc w:val="both"/>
        <w:rPr>
          <w:rFonts w:ascii="Arial" w:hAnsi="Arial" w:cs="Arial"/>
          <w:b/>
          <w:sz w:val="16"/>
          <w:szCs w:val="16"/>
        </w:rPr>
      </w:pPr>
    </w:p>
    <w:p w14:paraId="5FF851F6" w14:textId="1E48CA29" w:rsidR="00B13E3F" w:rsidRPr="00B13E3F" w:rsidRDefault="009B06CF" w:rsidP="00B13E3F">
      <w:pPr>
        <w:tabs>
          <w:tab w:val="left" w:pos="567"/>
        </w:tabs>
        <w:contextualSpacing/>
        <w:jc w:val="both"/>
        <w:rPr>
          <w:rFonts w:ascii="Arial" w:hAnsi="Arial" w:cs="Arial"/>
          <w:b/>
          <w:sz w:val="16"/>
          <w:szCs w:val="16"/>
        </w:rPr>
      </w:pPr>
      <w:r>
        <w:rPr>
          <w:rFonts w:ascii="Arial" w:hAnsi="Arial" w:cs="Arial"/>
          <w:b/>
          <w:sz w:val="16"/>
          <w:szCs w:val="16"/>
        </w:rPr>
        <w:t xml:space="preserve">2.8.7. </w:t>
      </w:r>
      <w:r w:rsidR="00B13E3F" w:rsidRPr="00B13E3F">
        <w:rPr>
          <w:rFonts w:ascii="Arial" w:hAnsi="Arial" w:cs="Arial"/>
          <w:b/>
          <w:sz w:val="16"/>
          <w:szCs w:val="16"/>
        </w:rPr>
        <w:t xml:space="preserve">Cobertura: </w:t>
      </w:r>
      <w:r w:rsidR="004F2FBF">
        <w:rPr>
          <w:rFonts w:ascii="Arial" w:hAnsi="Arial" w:cs="Arial"/>
          <w:b/>
          <w:sz w:val="16"/>
          <w:szCs w:val="16"/>
        </w:rPr>
        <w:t>El indicador se puede calcular a nivel de p</w:t>
      </w:r>
      <w:r w:rsidR="004F2FBF" w:rsidRPr="00B13E3F">
        <w:rPr>
          <w:rFonts w:ascii="Arial" w:hAnsi="Arial" w:cs="Arial"/>
          <w:b/>
          <w:sz w:val="16"/>
          <w:szCs w:val="16"/>
        </w:rPr>
        <w:t xml:space="preserve">royecto </w:t>
      </w:r>
      <w:r w:rsidR="004F2FBF">
        <w:rPr>
          <w:rFonts w:ascii="Arial" w:hAnsi="Arial" w:cs="Arial"/>
          <w:b/>
          <w:sz w:val="16"/>
          <w:szCs w:val="16"/>
        </w:rPr>
        <w:t>o nivel</w:t>
      </w:r>
      <w:r w:rsidR="004F2FBF" w:rsidRPr="00B13E3F">
        <w:rPr>
          <w:rFonts w:ascii="Arial" w:hAnsi="Arial" w:cs="Arial"/>
          <w:b/>
          <w:sz w:val="16"/>
          <w:szCs w:val="16"/>
        </w:rPr>
        <w:t xml:space="preserve"> </w:t>
      </w:r>
      <w:r w:rsidR="004F2FBF">
        <w:rPr>
          <w:rFonts w:ascii="Arial" w:hAnsi="Arial" w:cs="Arial"/>
          <w:b/>
          <w:sz w:val="16"/>
          <w:szCs w:val="16"/>
        </w:rPr>
        <w:t>n</w:t>
      </w:r>
      <w:r w:rsidR="004F2FBF" w:rsidRPr="00B13E3F">
        <w:rPr>
          <w:rFonts w:ascii="Arial" w:hAnsi="Arial" w:cs="Arial"/>
          <w:b/>
          <w:sz w:val="16"/>
          <w:szCs w:val="16"/>
        </w:rPr>
        <w:t>acional.</w:t>
      </w:r>
    </w:p>
    <w:p w14:paraId="546D2ACD" w14:textId="77777777" w:rsidR="00B13E3F" w:rsidRPr="00B13E3F" w:rsidRDefault="00B13E3F" w:rsidP="00B13E3F">
      <w:pPr>
        <w:tabs>
          <w:tab w:val="left" w:pos="567"/>
        </w:tabs>
        <w:contextualSpacing/>
        <w:jc w:val="both"/>
        <w:rPr>
          <w:rFonts w:ascii="Arial" w:hAnsi="Arial" w:cs="Arial"/>
          <w:b/>
          <w:sz w:val="16"/>
          <w:szCs w:val="16"/>
        </w:rPr>
      </w:pPr>
    </w:p>
    <w:p w14:paraId="6D879798" w14:textId="4CDCD318" w:rsidR="00A92D3C" w:rsidRPr="00983F31" w:rsidRDefault="00A92D3C" w:rsidP="00B13E3F">
      <w:pPr>
        <w:tabs>
          <w:tab w:val="left" w:pos="567"/>
        </w:tabs>
        <w:contextualSpacing/>
        <w:jc w:val="both"/>
        <w:rPr>
          <w:rFonts w:ascii="Arial" w:hAnsi="Arial" w:cs="Arial"/>
          <w:sz w:val="16"/>
          <w:szCs w:val="16"/>
        </w:rPr>
      </w:pPr>
    </w:p>
    <w:sectPr w:rsidR="00A92D3C" w:rsidRPr="00983F31" w:rsidSect="000234EA">
      <w:headerReference w:type="default" r:id="rId11"/>
      <w:footerReference w:type="default" r:id="rId12"/>
      <w:pgSz w:w="12240" w:h="15840"/>
      <w:pgMar w:top="1418" w:right="1701" w:bottom="1418" w:left="1701" w:header="709" w:footer="709" w:gutter="0"/>
      <w:pgBorders>
        <w:lef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0213A" w14:textId="77777777" w:rsidR="00584A2E" w:rsidRDefault="00584A2E" w:rsidP="00923B4A">
      <w:r>
        <w:separator/>
      </w:r>
    </w:p>
  </w:endnote>
  <w:endnote w:type="continuationSeparator" w:id="0">
    <w:p w14:paraId="22D125B2" w14:textId="77777777" w:rsidR="00584A2E" w:rsidRDefault="00584A2E" w:rsidP="00923B4A">
      <w:r>
        <w:continuationSeparator/>
      </w:r>
    </w:p>
  </w:endnote>
  <w:endnote w:type="continuationNotice" w:id="1">
    <w:p w14:paraId="2A7D5FDF" w14:textId="77777777" w:rsidR="00584A2E" w:rsidRDefault="00584A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32A1C" w14:textId="696F9FA7" w:rsidR="00326583" w:rsidRPr="00326583" w:rsidRDefault="00326583">
    <w:pPr>
      <w:pStyle w:val="Piedepgina"/>
      <w:rPr>
        <w:rFonts w:ascii="Arial" w:hAnsi="Arial" w:cs="Arial"/>
        <w:b/>
        <w:bCs/>
        <w:sz w:val="18"/>
        <w:szCs w:val="18"/>
        <w:lang w:val="es-MX"/>
      </w:rPr>
    </w:pPr>
    <w:r w:rsidRPr="00507A29">
      <w:rPr>
        <w:rFonts w:ascii="Arial" w:hAnsi="Arial" w:cs="Arial"/>
        <w:b/>
        <w:bCs/>
        <w:sz w:val="18"/>
        <w:szCs w:val="18"/>
        <w:lang w:val="es-MX"/>
      </w:rPr>
      <w:t xml:space="preserve">Circular Externa </w:t>
    </w:r>
    <w:r>
      <w:rPr>
        <w:rFonts w:ascii="Arial" w:hAnsi="Arial" w:cs="Arial"/>
        <w:b/>
        <w:bCs/>
        <w:sz w:val="18"/>
        <w:szCs w:val="18"/>
        <w:lang w:val="es-MX"/>
      </w:rPr>
      <w:t xml:space="preserve">    </w:t>
    </w:r>
    <w:r w:rsidRPr="00507A29">
      <w:rPr>
        <w:rFonts w:ascii="Arial" w:hAnsi="Arial" w:cs="Arial"/>
        <w:b/>
        <w:bCs/>
        <w:sz w:val="18"/>
        <w:szCs w:val="18"/>
        <w:lang w:val="es-MX"/>
      </w:rPr>
      <w:t xml:space="preserve">   202</w:t>
    </w:r>
    <w:r>
      <w:rPr>
        <w:rFonts w:ascii="Arial" w:hAnsi="Arial" w:cs="Arial"/>
        <w:b/>
        <w:bCs/>
        <w:sz w:val="18"/>
        <w:szCs w:val="18"/>
        <w:lang w:val="es-MX"/>
      </w:rPr>
      <w:t>5</w:t>
    </w:r>
    <w:r w:rsidRPr="00507A29">
      <w:rPr>
        <w:rFonts w:ascii="Arial" w:hAnsi="Arial" w:cs="Arial"/>
        <w:b/>
        <w:bCs/>
        <w:sz w:val="18"/>
        <w:szCs w:val="18"/>
        <w:lang w:val="es-MX"/>
      </w:rPr>
      <w:t xml:space="preserve">                                                                                                      </w:t>
    </w:r>
    <w:r>
      <w:rPr>
        <w:rFonts w:ascii="Arial" w:hAnsi="Arial" w:cs="Arial"/>
        <w:b/>
        <w:bCs/>
        <w:sz w:val="18"/>
        <w:szCs w:val="18"/>
        <w:lang w:val="es-MX"/>
      </w:rPr>
      <w:t xml:space="preserve">                  </w:t>
    </w:r>
    <w:r w:rsidRPr="00507A29">
      <w:rPr>
        <w:rFonts w:ascii="Arial" w:hAnsi="Arial" w:cs="Arial"/>
        <w:b/>
        <w:bCs/>
        <w:sz w:val="18"/>
        <w:szCs w:val="18"/>
        <w:lang w:val="es-MX"/>
      </w:rPr>
      <w:t>202</w:t>
    </w:r>
    <w:r>
      <w:rPr>
        <w:rFonts w:ascii="Arial" w:hAnsi="Arial" w:cs="Arial"/>
        <w:b/>
        <w:bCs/>
        <w:sz w:val="18"/>
        <w:szCs w:val="18"/>
        <w:lang w:val="es-MX"/>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2A9E3" w14:textId="77777777" w:rsidR="00584A2E" w:rsidRDefault="00584A2E" w:rsidP="00923B4A">
      <w:r>
        <w:separator/>
      </w:r>
    </w:p>
  </w:footnote>
  <w:footnote w:type="continuationSeparator" w:id="0">
    <w:p w14:paraId="68E664E7" w14:textId="77777777" w:rsidR="00584A2E" w:rsidRDefault="00584A2E" w:rsidP="00923B4A">
      <w:r>
        <w:continuationSeparator/>
      </w:r>
    </w:p>
  </w:footnote>
  <w:footnote w:type="continuationNotice" w:id="1">
    <w:p w14:paraId="1CD26936" w14:textId="77777777" w:rsidR="00584A2E" w:rsidRDefault="00584A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8ED4D" w14:textId="77777777" w:rsidR="002157FF" w:rsidRDefault="002157FF" w:rsidP="002157FF">
    <w:pPr>
      <w:pStyle w:val="Encabezado"/>
      <w:jc w:val="center"/>
      <w:rPr>
        <w:rFonts w:ascii="Arial" w:hAnsi="Arial" w:cs="Arial"/>
        <w:b/>
      </w:rPr>
    </w:pPr>
    <w:r>
      <w:rPr>
        <w:rFonts w:ascii="Arial" w:hAnsi="Arial" w:cs="Arial"/>
        <w:b/>
      </w:rPr>
      <w:t>SUPERINTENDENCIA FINANCIERA DE COLOMBIA</w:t>
    </w:r>
  </w:p>
  <w:p w14:paraId="146483A2" w14:textId="77777777" w:rsidR="002157FF" w:rsidRDefault="002157FF" w:rsidP="002157FF">
    <w:pPr>
      <w:pStyle w:val="Encabezado"/>
      <w:jc w:val="center"/>
      <w:rPr>
        <w:rFonts w:ascii="Arial" w:hAnsi="Arial" w:cs="Arial"/>
        <w:b/>
      </w:rPr>
    </w:pPr>
  </w:p>
  <w:p w14:paraId="0134BA53" w14:textId="7E574E92" w:rsidR="003377EA" w:rsidRDefault="002157FF" w:rsidP="003377EA">
    <w:pPr>
      <w:jc w:val="center"/>
      <w:rPr>
        <w:rFonts w:ascii="Arial" w:hAnsi="Arial" w:cs="Arial"/>
        <w:b/>
        <w:sz w:val="16"/>
        <w:szCs w:val="16"/>
      </w:rPr>
    </w:pPr>
    <w:r>
      <w:rPr>
        <w:rFonts w:ascii="Arial" w:hAnsi="Arial"/>
        <w:b/>
        <w:sz w:val="18"/>
        <w:szCs w:val="18"/>
      </w:rPr>
      <w:t>CAPÍTULO XXXII</w:t>
    </w:r>
    <w:r w:rsidR="00744625">
      <w:rPr>
        <w:rFonts w:ascii="Arial" w:hAnsi="Arial"/>
        <w:b/>
        <w:sz w:val="18"/>
        <w:szCs w:val="18"/>
      </w:rPr>
      <w:t>I</w:t>
    </w:r>
    <w:r>
      <w:rPr>
        <w:rFonts w:ascii="Arial" w:hAnsi="Arial"/>
        <w:b/>
        <w:sz w:val="18"/>
        <w:szCs w:val="18"/>
      </w:rPr>
      <w:t xml:space="preserve"> </w:t>
    </w:r>
    <w:r w:rsidR="007968A1">
      <w:rPr>
        <w:rFonts w:ascii="Arial" w:hAnsi="Arial" w:cs="Arial"/>
        <w:b/>
        <w:sz w:val="16"/>
        <w:szCs w:val="16"/>
      </w:rPr>
      <w:t>GESTIÓN DE RIESGOS</w:t>
    </w:r>
    <w:r w:rsidR="003377EA" w:rsidRPr="009C31AB">
      <w:rPr>
        <w:rFonts w:ascii="Arial" w:hAnsi="Arial" w:cs="Arial"/>
        <w:b/>
        <w:sz w:val="16"/>
        <w:szCs w:val="16"/>
      </w:rPr>
      <w:t xml:space="preserve"> AMBIENTALES, SOCIALES, INCLUIDOS LOS CLIMÁTICOS </w:t>
    </w:r>
  </w:p>
  <w:p w14:paraId="706350C4" w14:textId="77777777" w:rsidR="009C099E" w:rsidRPr="009C31AB" w:rsidRDefault="009C099E" w:rsidP="003377EA">
    <w:pPr>
      <w:jc w:val="center"/>
      <w:rPr>
        <w:rFonts w:ascii="Arial" w:hAnsi="Arial" w:cs="Arial"/>
        <w:b/>
        <w:sz w:val="16"/>
        <w:szCs w:val="16"/>
      </w:rPr>
    </w:pPr>
  </w:p>
  <w:p w14:paraId="5C1289C0" w14:textId="652C6DB4" w:rsidR="006914DA" w:rsidRDefault="002157FF" w:rsidP="003377EA">
    <w:pPr>
      <w:tabs>
        <w:tab w:val="left" w:pos="0"/>
      </w:tabs>
      <w:jc w:val="both"/>
      <w:rPr>
        <w:rFonts w:ascii="Arial" w:hAnsi="Arial" w:cs="Arial"/>
        <w:b/>
        <w:sz w:val="18"/>
      </w:rPr>
    </w:pPr>
    <w:r>
      <w:rPr>
        <w:rFonts w:ascii="Arial" w:hAnsi="Arial" w:cs="Arial"/>
        <w:b/>
        <w:sz w:val="18"/>
      </w:rPr>
      <w:t>Pá</w:t>
    </w:r>
    <w:r w:rsidRPr="00BB7B38">
      <w:rPr>
        <w:rFonts w:ascii="Arial" w:hAnsi="Arial" w:cs="Arial"/>
        <w:b/>
        <w:sz w:val="18"/>
      </w:rPr>
      <w:t xml:space="preserve">gina </w:t>
    </w:r>
    <w:sdt>
      <w:sdtPr>
        <w:rPr>
          <w:rFonts w:ascii="Arial" w:hAnsi="Arial" w:cs="Arial"/>
          <w:b/>
          <w:sz w:val="18"/>
        </w:rPr>
        <w:id w:val="2085024489"/>
        <w:docPartObj>
          <w:docPartGallery w:val="Page Numbers (Top of Page)"/>
          <w:docPartUnique/>
        </w:docPartObj>
      </w:sdtPr>
      <w:sdtEndPr/>
      <w:sdtContent>
        <w:r w:rsidRPr="00BB7B38">
          <w:rPr>
            <w:rFonts w:ascii="Arial" w:hAnsi="Arial" w:cs="Arial"/>
            <w:b/>
            <w:sz w:val="18"/>
          </w:rPr>
          <w:fldChar w:fldCharType="begin"/>
        </w:r>
        <w:r w:rsidRPr="00BB7B38">
          <w:rPr>
            <w:rFonts w:ascii="Arial" w:hAnsi="Arial" w:cs="Arial"/>
            <w:b/>
            <w:sz w:val="18"/>
          </w:rPr>
          <w:instrText>PAGE   \* MERGEFORMAT</w:instrText>
        </w:r>
        <w:r w:rsidRPr="00BB7B38">
          <w:rPr>
            <w:rFonts w:ascii="Arial" w:hAnsi="Arial" w:cs="Arial"/>
            <w:b/>
            <w:sz w:val="18"/>
          </w:rPr>
          <w:fldChar w:fldCharType="separate"/>
        </w:r>
        <w:r>
          <w:rPr>
            <w:rFonts w:ascii="Arial" w:hAnsi="Arial" w:cs="Arial"/>
            <w:b/>
            <w:sz w:val="18"/>
          </w:rPr>
          <w:t>1</w:t>
        </w:r>
        <w:r w:rsidRPr="00BB7B38">
          <w:rPr>
            <w:rFonts w:ascii="Arial" w:hAnsi="Arial" w:cs="Arial"/>
            <w:b/>
            <w:sz w:val="18"/>
          </w:rPr>
          <w:fldChar w:fldCharType="end"/>
        </w:r>
      </w:sdtContent>
    </w:sdt>
  </w:p>
  <w:p w14:paraId="6E25B08E" w14:textId="77777777" w:rsidR="006E506E" w:rsidRDefault="006E506E" w:rsidP="003377EA">
    <w:pPr>
      <w:tabs>
        <w:tab w:val="left" w:pos="0"/>
      </w:tabs>
      <w:jc w:val="both"/>
      <w:rPr>
        <w:rFonts w:ascii="Arial" w:hAnsi="Arial" w:cs="Arial"/>
        <w:b/>
        <w:sz w:val="18"/>
      </w:rPr>
    </w:pPr>
  </w:p>
  <w:p w14:paraId="20C7A26F" w14:textId="77777777" w:rsidR="006E506E" w:rsidRPr="007B4918" w:rsidRDefault="006E506E" w:rsidP="003377EA">
    <w:pPr>
      <w:tabs>
        <w:tab w:val="left" w:pos="0"/>
      </w:tabs>
      <w:jc w:val="both"/>
      <w:rPr>
        <w:rFonts w:ascii="Arial" w:hAnsi="Arial" w:cs="Arial"/>
        <w:b/>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E4624"/>
    <w:multiLevelType w:val="hybridMultilevel"/>
    <w:tmpl w:val="862A779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29920BB"/>
    <w:multiLevelType w:val="hybridMultilevel"/>
    <w:tmpl w:val="CFD4909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2FD1C00"/>
    <w:multiLevelType w:val="hybridMultilevel"/>
    <w:tmpl w:val="7456ABA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A6267F2"/>
    <w:multiLevelType w:val="hybridMultilevel"/>
    <w:tmpl w:val="D640D07C"/>
    <w:lvl w:ilvl="0" w:tplc="0F2E9E6A">
      <w:start w:val="1"/>
      <w:numFmt w:val="lowerLetter"/>
      <w:lvlText w:val="%1."/>
      <w:lvlJc w:val="left"/>
      <w:pPr>
        <w:ind w:left="930" w:hanging="360"/>
      </w:pPr>
      <w:rPr>
        <w:rFonts w:hint="default"/>
      </w:rPr>
    </w:lvl>
    <w:lvl w:ilvl="1" w:tplc="240A0019" w:tentative="1">
      <w:start w:val="1"/>
      <w:numFmt w:val="lowerLetter"/>
      <w:lvlText w:val="%2."/>
      <w:lvlJc w:val="left"/>
      <w:pPr>
        <w:ind w:left="1650" w:hanging="360"/>
      </w:pPr>
    </w:lvl>
    <w:lvl w:ilvl="2" w:tplc="240A001B" w:tentative="1">
      <w:start w:val="1"/>
      <w:numFmt w:val="lowerRoman"/>
      <w:lvlText w:val="%3."/>
      <w:lvlJc w:val="right"/>
      <w:pPr>
        <w:ind w:left="2370" w:hanging="180"/>
      </w:pPr>
    </w:lvl>
    <w:lvl w:ilvl="3" w:tplc="240A000F" w:tentative="1">
      <w:start w:val="1"/>
      <w:numFmt w:val="decimal"/>
      <w:lvlText w:val="%4."/>
      <w:lvlJc w:val="left"/>
      <w:pPr>
        <w:ind w:left="3090" w:hanging="360"/>
      </w:pPr>
    </w:lvl>
    <w:lvl w:ilvl="4" w:tplc="240A0019" w:tentative="1">
      <w:start w:val="1"/>
      <w:numFmt w:val="lowerLetter"/>
      <w:lvlText w:val="%5."/>
      <w:lvlJc w:val="left"/>
      <w:pPr>
        <w:ind w:left="3810" w:hanging="360"/>
      </w:pPr>
    </w:lvl>
    <w:lvl w:ilvl="5" w:tplc="240A001B" w:tentative="1">
      <w:start w:val="1"/>
      <w:numFmt w:val="lowerRoman"/>
      <w:lvlText w:val="%6."/>
      <w:lvlJc w:val="right"/>
      <w:pPr>
        <w:ind w:left="4530" w:hanging="180"/>
      </w:pPr>
    </w:lvl>
    <w:lvl w:ilvl="6" w:tplc="240A000F" w:tentative="1">
      <w:start w:val="1"/>
      <w:numFmt w:val="decimal"/>
      <w:lvlText w:val="%7."/>
      <w:lvlJc w:val="left"/>
      <w:pPr>
        <w:ind w:left="5250" w:hanging="360"/>
      </w:pPr>
    </w:lvl>
    <w:lvl w:ilvl="7" w:tplc="240A0019" w:tentative="1">
      <w:start w:val="1"/>
      <w:numFmt w:val="lowerLetter"/>
      <w:lvlText w:val="%8."/>
      <w:lvlJc w:val="left"/>
      <w:pPr>
        <w:ind w:left="5970" w:hanging="360"/>
      </w:pPr>
    </w:lvl>
    <w:lvl w:ilvl="8" w:tplc="240A001B" w:tentative="1">
      <w:start w:val="1"/>
      <w:numFmt w:val="lowerRoman"/>
      <w:lvlText w:val="%9."/>
      <w:lvlJc w:val="right"/>
      <w:pPr>
        <w:ind w:left="6690" w:hanging="180"/>
      </w:pPr>
    </w:lvl>
  </w:abstractNum>
  <w:abstractNum w:abstractNumId="4" w15:restartNumberingAfterBreak="0">
    <w:nsid w:val="55CF3BFE"/>
    <w:multiLevelType w:val="hybridMultilevel"/>
    <w:tmpl w:val="4D52DA6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64723254"/>
    <w:multiLevelType w:val="hybridMultilevel"/>
    <w:tmpl w:val="0CC4311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EBE3922"/>
    <w:multiLevelType w:val="hybridMultilevel"/>
    <w:tmpl w:val="F964117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EAE2DF9"/>
    <w:multiLevelType w:val="hybridMultilevel"/>
    <w:tmpl w:val="B7A856C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4"/>
  </w:num>
  <w:num w:numId="5">
    <w:abstractNumId w:val="7"/>
  </w:num>
  <w:num w:numId="6">
    <w:abstractNumId w:val="6"/>
  </w:num>
  <w:num w:numId="7">
    <w:abstractNumId w:val="3"/>
  </w:num>
  <w:num w:numId="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580"/>
    <w:rsid w:val="00001089"/>
    <w:rsid w:val="00001EB1"/>
    <w:rsid w:val="00002A84"/>
    <w:rsid w:val="00003BAF"/>
    <w:rsid w:val="00003E1F"/>
    <w:rsid w:val="000045D3"/>
    <w:rsid w:val="00004B8B"/>
    <w:rsid w:val="00004FD5"/>
    <w:rsid w:val="00010F42"/>
    <w:rsid w:val="00011A51"/>
    <w:rsid w:val="00012001"/>
    <w:rsid w:val="00013144"/>
    <w:rsid w:val="00013391"/>
    <w:rsid w:val="000157F1"/>
    <w:rsid w:val="000165F8"/>
    <w:rsid w:val="00022BB0"/>
    <w:rsid w:val="00022C89"/>
    <w:rsid w:val="000234EA"/>
    <w:rsid w:val="00023E95"/>
    <w:rsid w:val="00024368"/>
    <w:rsid w:val="00024913"/>
    <w:rsid w:val="00025B2F"/>
    <w:rsid w:val="00025BF3"/>
    <w:rsid w:val="000260F3"/>
    <w:rsid w:val="000261A6"/>
    <w:rsid w:val="00027345"/>
    <w:rsid w:val="00030ECD"/>
    <w:rsid w:val="00031170"/>
    <w:rsid w:val="00031A9D"/>
    <w:rsid w:val="000338EC"/>
    <w:rsid w:val="00034C4B"/>
    <w:rsid w:val="000369F9"/>
    <w:rsid w:val="000371F3"/>
    <w:rsid w:val="0003782B"/>
    <w:rsid w:val="0004071F"/>
    <w:rsid w:val="0004076A"/>
    <w:rsid w:val="00040BA2"/>
    <w:rsid w:val="00042A85"/>
    <w:rsid w:val="00042EF8"/>
    <w:rsid w:val="00043185"/>
    <w:rsid w:val="0004358A"/>
    <w:rsid w:val="00043D34"/>
    <w:rsid w:val="00043DD5"/>
    <w:rsid w:val="000440C5"/>
    <w:rsid w:val="0004474B"/>
    <w:rsid w:val="000459DE"/>
    <w:rsid w:val="00045D45"/>
    <w:rsid w:val="0004648C"/>
    <w:rsid w:val="00047AB8"/>
    <w:rsid w:val="000500C6"/>
    <w:rsid w:val="00051C36"/>
    <w:rsid w:val="00051CB5"/>
    <w:rsid w:val="00052772"/>
    <w:rsid w:val="00052916"/>
    <w:rsid w:val="0005374A"/>
    <w:rsid w:val="00053845"/>
    <w:rsid w:val="00054CE2"/>
    <w:rsid w:val="00055AA1"/>
    <w:rsid w:val="0005650F"/>
    <w:rsid w:val="000566CB"/>
    <w:rsid w:val="00056C34"/>
    <w:rsid w:val="0005767F"/>
    <w:rsid w:val="00060BD6"/>
    <w:rsid w:val="000614B9"/>
    <w:rsid w:val="00061885"/>
    <w:rsid w:val="00061E01"/>
    <w:rsid w:val="00061EEA"/>
    <w:rsid w:val="000623BE"/>
    <w:rsid w:val="00062546"/>
    <w:rsid w:val="00064385"/>
    <w:rsid w:val="00064B3C"/>
    <w:rsid w:val="00064FD3"/>
    <w:rsid w:val="000651A8"/>
    <w:rsid w:val="00065C4A"/>
    <w:rsid w:val="00066500"/>
    <w:rsid w:val="0006739F"/>
    <w:rsid w:val="000725C9"/>
    <w:rsid w:val="00074134"/>
    <w:rsid w:val="00074182"/>
    <w:rsid w:val="000751EE"/>
    <w:rsid w:val="00075A1F"/>
    <w:rsid w:val="000764C2"/>
    <w:rsid w:val="00076579"/>
    <w:rsid w:val="00076DF1"/>
    <w:rsid w:val="00077E5F"/>
    <w:rsid w:val="0008015E"/>
    <w:rsid w:val="0008031D"/>
    <w:rsid w:val="00080860"/>
    <w:rsid w:val="000836FC"/>
    <w:rsid w:val="00083884"/>
    <w:rsid w:val="00083C0E"/>
    <w:rsid w:val="00083E3F"/>
    <w:rsid w:val="00084076"/>
    <w:rsid w:val="000841D8"/>
    <w:rsid w:val="000843C8"/>
    <w:rsid w:val="000845A1"/>
    <w:rsid w:val="000859F8"/>
    <w:rsid w:val="00086BB6"/>
    <w:rsid w:val="000879A1"/>
    <w:rsid w:val="00090B77"/>
    <w:rsid w:val="000911FE"/>
    <w:rsid w:val="00091850"/>
    <w:rsid w:val="0009212D"/>
    <w:rsid w:val="00092340"/>
    <w:rsid w:val="00093406"/>
    <w:rsid w:val="00093688"/>
    <w:rsid w:val="0009402A"/>
    <w:rsid w:val="000949D8"/>
    <w:rsid w:val="00095D1A"/>
    <w:rsid w:val="00096BA3"/>
    <w:rsid w:val="000A0DFF"/>
    <w:rsid w:val="000A380B"/>
    <w:rsid w:val="000A3CC6"/>
    <w:rsid w:val="000A4C2A"/>
    <w:rsid w:val="000A7529"/>
    <w:rsid w:val="000B011D"/>
    <w:rsid w:val="000B0805"/>
    <w:rsid w:val="000B34E4"/>
    <w:rsid w:val="000B3A0A"/>
    <w:rsid w:val="000B4113"/>
    <w:rsid w:val="000B4EBE"/>
    <w:rsid w:val="000B506F"/>
    <w:rsid w:val="000B6717"/>
    <w:rsid w:val="000B71FE"/>
    <w:rsid w:val="000B75CB"/>
    <w:rsid w:val="000C1E17"/>
    <w:rsid w:val="000C2A3E"/>
    <w:rsid w:val="000C3A96"/>
    <w:rsid w:val="000C3CA4"/>
    <w:rsid w:val="000C412A"/>
    <w:rsid w:val="000C4241"/>
    <w:rsid w:val="000C4F1D"/>
    <w:rsid w:val="000C4FC2"/>
    <w:rsid w:val="000C5A60"/>
    <w:rsid w:val="000C60C5"/>
    <w:rsid w:val="000C61AD"/>
    <w:rsid w:val="000C6896"/>
    <w:rsid w:val="000C74A4"/>
    <w:rsid w:val="000C77F6"/>
    <w:rsid w:val="000D0B66"/>
    <w:rsid w:val="000D33F8"/>
    <w:rsid w:val="000D3E57"/>
    <w:rsid w:val="000D4504"/>
    <w:rsid w:val="000D4CA3"/>
    <w:rsid w:val="000D5178"/>
    <w:rsid w:val="000D537E"/>
    <w:rsid w:val="000D7130"/>
    <w:rsid w:val="000D78BB"/>
    <w:rsid w:val="000D7FA2"/>
    <w:rsid w:val="000E0529"/>
    <w:rsid w:val="000E1B1D"/>
    <w:rsid w:val="000E1B40"/>
    <w:rsid w:val="000E1BE5"/>
    <w:rsid w:val="000E1E01"/>
    <w:rsid w:val="000E27DE"/>
    <w:rsid w:val="000E3A00"/>
    <w:rsid w:val="000E4C61"/>
    <w:rsid w:val="000E51DE"/>
    <w:rsid w:val="000E65B9"/>
    <w:rsid w:val="000E6C0A"/>
    <w:rsid w:val="000E6CA8"/>
    <w:rsid w:val="000F0663"/>
    <w:rsid w:val="000F1F1F"/>
    <w:rsid w:val="000F20BA"/>
    <w:rsid w:val="000F3DCF"/>
    <w:rsid w:val="000F400D"/>
    <w:rsid w:val="000F51A1"/>
    <w:rsid w:val="000F667F"/>
    <w:rsid w:val="000F6E7F"/>
    <w:rsid w:val="000F6F6A"/>
    <w:rsid w:val="000F78B7"/>
    <w:rsid w:val="000F7CCB"/>
    <w:rsid w:val="0010023B"/>
    <w:rsid w:val="00100A6F"/>
    <w:rsid w:val="001011B2"/>
    <w:rsid w:val="001012BF"/>
    <w:rsid w:val="00103A11"/>
    <w:rsid w:val="00103EE2"/>
    <w:rsid w:val="00104029"/>
    <w:rsid w:val="00104A15"/>
    <w:rsid w:val="00105A86"/>
    <w:rsid w:val="001106D3"/>
    <w:rsid w:val="001106DC"/>
    <w:rsid w:val="00110DF2"/>
    <w:rsid w:val="00111ACC"/>
    <w:rsid w:val="001122FE"/>
    <w:rsid w:val="00112862"/>
    <w:rsid w:val="001133DA"/>
    <w:rsid w:val="00113FD2"/>
    <w:rsid w:val="001149FE"/>
    <w:rsid w:val="00114D4F"/>
    <w:rsid w:val="00114E49"/>
    <w:rsid w:val="00115E62"/>
    <w:rsid w:val="00116957"/>
    <w:rsid w:val="00116FA9"/>
    <w:rsid w:val="00117C7E"/>
    <w:rsid w:val="00117E0B"/>
    <w:rsid w:val="001203B7"/>
    <w:rsid w:val="001214EC"/>
    <w:rsid w:val="0012156D"/>
    <w:rsid w:val="00122AD6"/>
    <w:rsid w:val="00123167"/>
    <w:rsid w:val="00123E1B"/>
    <w:rsid w:val="00124259"/>
    <w:rsid w:val="00124A2B"/>
    <w:rsid w:val="00124AE9"/>
    <w:rsid w:val="00125463"/>
    <w:rsid w:val="0012611B"/>
    <w:rsid w:val="001262B7"/>
    <w:rsid w:val="00127617"/>
    <w:rsid w:val="00127F11"/>
    <w:rsid w:val="00131905"/>
    <w:rsid w:val="0013240F"/>
    <w:rsid w:val="0013324E"/>
    <w:rsid w:val="0013332F"/>
    <w:rsid w:val="001338CB"/>
    <w:rsid w:val="001339FA"/>
    <w:rsid w:val="001350B6"/>
    <w:rsid w:val="00135237"/>
    <w:rsid w:val="0013583D"/>
    <w:rsid w:val="00136415"/>
    <w:rsid w:val="001404B4"/>
    <w:rsid w:val="001408AD"/>
    <w:rsid w:val="00141441"/>
    <w:rsid w:val="0014237D"/>
    <w:rsid w:val="00143123"/>
    <w:rsid w:val="001437CB"/>
    <w:rsid w:val="00144151"/>
    <w:rsid w:val="00144275"/>
    <w:rsid w:val="001449DC"/>
    <w:rsid w:val="00144DB6"/>
    <w:rsid w:val="00144F9C"/>
    <w:rsid w:val="001466FD"/>
    <w:rsid w:val="001501E5"/>
    <w:rsid w:val="001525A4"/>
    <w:rsid w:val="00154967"/>
    <w:rsid w:val="00155B47"/>
    <w:rsid w:val="00157920"/>
    <w:rsid w:val="001600FB"/>
    <w:rsid w:val="00160E70"/>
    <w:rsid w:val="0016131A"/>
    <w:rsid w:val="001619F9"/>
    <w:rsid w:val="00163064"/>
    <w:rsid w:val="001630DE"/>
    <w:rsid w:val="00163801"/>
    <w:rsid w:val="001641C8"/>
    <w:rsid w:val="00164515"/>
    <w:rsid w:val="00164DF3"/>
    <w:rsid w:val="00167086"/>
    <w:rsid w:val="00167A4B"/>
    <w:rsid w:val="00167E5C"/>
    <w:rsid w:val="001702E2"/>
    <w:rsid w:val="001707D5"/>
    <w:rsid w:val="00170AB1"/>
    <w:rsid w:val="00171D3A"/>
    <w:rsid w:val="001727F6"/>
    <w:rsid w:val="00173DF1"/>
    <w:rsid w:val="001750C6"/>
    <w:rsid w:val="00175375"/>
    <w:rsid w:val="00175F1B"/>
    <w:rsid w:val="001770A4"/>
    <w:rsid w:val="001773E2"/>
    <w:rsid w:val="0017768B"/>
    <w:rsid w:val="0018000E"/>
    <w:rsid w:val="00180F29"/>
    <w:rsid w:val="00180F81"/>
    <w:rsid w:val="00181180"/>
    <w:rsid w:val="00181C96"/>
    <w:rsid w:val="00181ECF"/>
    <w:rsid w:val="001827C9"/>
    <w:rsid w:val="00182E2E"/>
    <w:rsid w:val="001836CF"/>
    <w:rsid w:val="00183DBA"/>
    <w:rsid w:val="001847B4"/>
    <w:rsid w:val="00185516"/>
    <w:rsid w:val="00185ABC"/>
    <w:rsid w:val="001874E6"/>
    <w:rsid w:val="0018765A"/>
    <w:rsid w:val="00190811"/>
    <w:rsid w:val="00190DA1"/>
    <w:rsid w:val="001925F9"/>
    <w:rsid w:val="0019416D"/>
    <w:rsid w:val="001957E2"/>
    <w:rsid w:val="00196192"/>
    <w:rsid w:val="001967FB"/>
    <w:rsid w:val="0019735F"/>
    <w:rsid w:val="001977E1"/>
    <w:rsid w:val="001A00C0"/>
    <w:rsid w:val="001A087C"/>
    <w:rsid w:val="001A0C26"/>
    <w:rsid w:val="001A1C89"/>
    <w:rsid w:val="001A2421"/>
    <w:rsid w:val="001A2580"/>
    <w:rsid w:val="001A3DD8"/>
    <w:rsid w:val="001A5F7A"/>
    <w:rsid w:val="001A6678"/>
    <w:rsid w:val="001A71ED"/>
    <w:rsid w:val="001B004A"/>
    <w:rsid w:val="001B03EE"/>
    <w:rsid w:val="001B0C04"/>
    <w:rsid w:val="001B11DD"/>
    <w:rsid w:val="001B30F0"/>
    <w:rsid w:val="001B3134"/>
    <w:rsid w:val="001B391D"/>
    <w:rsid w:val="001B420A"/>
    <w:rsid w:val="001B51B2"/>
    <w:rsid w:val="001B5818"/>
    <w:rsid w:val="001B717C"/>
    <w:rsid w:val="001B7EAF"/>
    <w:rsid w:val="001C0402"/>
    <w:rsid w:val="001C1CC8"/>
    <w:rsid w:val="001C1CDE"/>
    <w:rsid w:val="001C236F"/>
    <w:rsid w:val="001C27CB"/>
    <w:rsid w:val="001C304B"/>
    <w:rsid w:val="001C3134"/>
    <w:rsid w:val="001C32C8"/>
    <w:rsid w:val="001C330E"/>
    <w:rsid w:val="001C379C"/>
    <w:rsid w:val="001C3E3E"/>
    <w:rsid w:val="001C5153"/>
    <w:rsid w:val="001C5783"/>
    <w:rsid w:val="001C6A3B"/>
    <w:rsid w:val="001D02F2"/>
    <w:rsid w:val="001D0CA5"/>
    <w:rsid w:val="001D0E4D"/>
    <w:rsid w:val="001D240E"/>
    <w:rsid w:val="001D3624"/>
    <w:rsid w:val="001D3C17"/>
    <w:rsid w:val="001D4A90"/>
    <w:rsid w:val="001D56A0"/>
    <w:rsid w:val="001D5EB8"/>
    <w:rsid w:val="001D638A"/>
    <w:rsid w:val="001D6502"/>
    <w:rsid w:val="001D66E4"/>
    <w:rsid w:val="001D6C1C"/>
    <w:rsid w:val="001D7024"/>
    <w:rsid w:val="001E04D9"/>
    <w:rsid w:val="001E1FD3"/>
    <w:rsid w:val="001E2547"/>
    <w:rsid w:val="001E3E2D"/>
    <w:rsid w:val="001E44BD"/>
    <w:rsid w:val="001E4E07"/>
    <w:rsid w:val="001E4FAC"/>
    <w:rsid w:val="001E576B"/>
    <w:rsid w:val="001E57C2"/>
    <w:rsid w:val="001E682C"/>
    <w:rsid w:val="001E6D92"/>
    <w:rsid w:val="001E6FDA"/>
    <w:rsid w:val="001E78FF"/>
    <w:rsid w:val="001F1DF7"/>
    <w:rsid w:val="001F2665"/>
    <w:rsid w:val="001F2CA1"/>
    <w:rsid w:val="001F313C"/>
    <w:rsid w:val="001F394F"/>
    <w:rsid w:val="001F711F"/>
    <w:rsid w:val="00202B06"/>
    <w:rsid w:val="00203731"/>
    <w:rsid w:val="002048A9"/>
    <w:rsid w:val="002055A7"/>
    <w:rsid w:val="00206B62"/>
    <w:rsid w:val="00206E11"/>
    <w:rsid w:val="00207D4B"/>
    <w:rsid w:val="00210744"/>
    <w:rsid w:val="00210BBC"/>
    <w:rsid w:val="00210C58"/>
    <w:rsid w:val="0021143E"/>
    <w:rsid w:val="00211597"/>
    <w:rsid w:val="002117CE"/>
    <w:rsid w:val="00211883"/>
    <w:rsid w:val="002126C3"/>
    <w:rsid w:val="00212E0B"/>
    <w:rsid w:val="00213E26"/>
    <w:rsid w:val="002157FF"/>
    <w:rsid w:val="00217331"/>
    <w:rsid w:val="002206EF"/>
    <w:rsid w:val="002208FD"/>
    <w:rsid w:val="00221411"/>
    <w:rsid w:val="0022177E"/>
    <w:rsid w:val="00223F85"/>
    <w:rsid w:val="002254FB"/>
    <w:rsid w:val="002269AF"/>
    <w:rsid w:val="00226ACE"/>
    <w:rsid w:val="0023088C"/>
    <w:rsid w:val="00231039"/>
    <w:rsid w:val="0023238A"/>
    <w:rsid w:val="002334A2"/>
    <w:rsid w:val="002336D3"/>
    <w:rsid w:val="00234FF3"/>
    <w:rsid w:val="002351A5"/>
    <w:rsid w:val="00236F90"/>
    <w:rsid w:val="00237FD0"/>
    <w:rsid w:val="002417F3"/>
    <w:rsid w:val="00241BB2"/>
    <w:rsid w:val="002422CC"/>
    <w:rsid w:val="00243CE8"/>
    <w:rsid w:val="00244072"/>
    <w:rsid w:val="00244D6C"/>
    <w:rsid w:val="00245B3F"/>
    <w:rsid w:val="002466EA"/>
    <w:rsid w:val="00247713"/>
    <w:rsid w:val="00247AC5"/>
    <w:rsid w:val="0025043E"/>
    <w:rsid w:val="00250601"/>
    <w:rsid w:val="0025065E"/>
    <w:rsid w:val="002517FC"/>
    <w:rsid w:val="002525CC"/>
    <w:rsid w:val="00252FAF"/>
    <w:rsid w:val="002560C1"/>
    <w:rsid w:val="002562B4"/>
    <w:rsid w:val="002563BD"/>
    <w:rsid w:val="00256565"/>
    <w:rsid w:val="00256E2E"/>
    <w:rsid w:val="00257001"/>
    <w:rsid w:val="002575A2"/>
    <w:rsid w:val="002620E2"/>
    <w:rsid w:val="002628D0"/>
    <w:rsid w:val="002632A6"/>
    <w:rsid w:val="002634E9"/>
    <w:rsid w:val="00263EC4"/>
    <w:rsid w:val="0026424D"/>
    <w:rsid w:val="002643AE"/>
    <w:rsid w:val="0026450A"/>
    <w:rsid w:val="00264781"/>
    <w:rsid w:val="00264E44"/>
    <w:rsid w:val="0026636F"/>
    <w:rsid w:val="00267625"/>
    <w:rsid w:val="002706E4"/>
    <w:rsid w:val="002762E3"/>
    <w:rsid w:val="00277037"/>
    <w:rsid w:val="00277CDD"/>
    <w:rsid w:val="002800C6"/>
    <w:rsid w:val="00281E85"/>
    <w:rsid w:val="002823AB"/>
    <w:rsid w:val="002839A9"/>
    <w:rsid w:val="00283C89"/>
    <w:rsid w:val="00284A4B"/>
    <w:rsid w:val="00284B3F"/>
    <w:rsid w:val="00285ED0"/>
    <w:rsid w:val="00285F4F"/>
    <w:rsid w:val="0028694E"/>
    <w:rsid w:val="002870FF"/>
    <w:rsid w:val="0028780E"/>
    <w:rsid w:val="0029236C"/>
    <w:rsid w:val="002925BC"/>
    <w:rsid w:val="00292A33"/>
    <w:rsid w:val="002952AF"/>
    <w:rsid w:val="00297AE7"/>
    <w:rsid w:val="00297D99"/>
    <w:rsid w:val="002A07FC"/>
    <w:rsid w:val="002A1838"/>
    <w:rsid w:val="002A2100"/>
    <w:rsid w:val="002A2CD9"/>
    <w:rsid w:val="002A30ED"/>
    <w:rsid w:val="002A318C"/>
    <w:rsid w:val="002A3A40"/>
    <w:rsid w:val="002A3AB4"/>
    <w:rsid w:val="002A3C3E"/>
    <w:rsid w:val="002A5404"/>
    <w:rsid w:val="002A5DD9"/>
    <w:rsid w:val="002A738E"/>
    <w:rsid w:val="002A7BE5"/>
    <w:rsid w:val="002B0B4E"/>
    <w:rsid w:val="002B2185"/>
    <w:rsid w:val="002B27CB"/>
    <w:rsid w:val="002B2E4F"/>
    <w:rsid w:val="002B31F0"/>
    <w:rsid w:val="002B3628"/>
    <w:rsid w:val="002B3821"/>
    <w:rsid w:val="002B4772"/>
    <w:rsid w:val="002B568D"/>
    <w:rsid w:val="002B58AE"/>
    <w:rsid w:val="002B6780"/>
    <w:rsid w:val="002B6903"/>
    <w:rsid w:val="002B6BBE"/>
    <w:rsid w:val="002C04C8"/>
    <w:rsid w:val="002C0E90"/>
    <w:rsid w:val="002C1DF8"/>
    <w:rsid w:val="002C25F0"/>
    <w:rsid w:val="002C3715"/>
    <w:rsid w:val="002C3AFE"/>
    <w:rsid w:val="002C44F8"/>
    <w:rsid w:val="002C4A8D"/>
    <w:rsid w:val="002C61F9"/>
    <w:rsid w:val="002C6B34"/>
    <w:rsid w:val="002C7746"/>
    <w:rsid w:val="002C7B96"/>
    <w:rsid w:val="002C7F56"/>
    <w:rsid w:val="002D0399"/>
    <w:rsid w:val="002D0DFC"/>
    <w:rsid w:val="002D191E"/>
    <w:rsid w:val="002D2935"/>
    <w:rsid w:val="002D358E"/>
    <w:rsid w:val="002D4422"/>
    <w:rsid w:val="002D468E"/>
    <w:rsid w:val="002D51D0"/>
    <w:rsid w:val="002D545A"/>
    <w:rsid w:val="002D5D6F"/>
    <w:rsid w:val="002D6805"/>
    <w:rsid w:val="002D6CF6"/>
    <w:rsid w:val="002D7383"/>
    <w:rsid w:val="002D7CE4"/>
    <w:rsid w:val="002E10A1"/>
    <w:rsid w:val="002E19C9"/>
    <w:rsid w:val="002E1F1D"/>
    <w:rsid w:val="002E32C5"/>
    <w:rsid w:val="002E38E6"/>
    <w:rsid w:val="002E6F4A"/>
    <w:rsid w:val="002F053A"/>
    <w:rsid w:val="002F0FE4"/>
    <w:rsid w:val="002F1582"/>
    <w:rsid w:val="002F1965"/>
    <w:rsid w:val="002F2547"/>
    <w:rsid w:val="002F34AB"/>
    <w:rsid w:val="002F366F"/>
    <w:rsid w:val="002F3797"/>
    <w:rsid w:val="002F3E4E"/>
    <w:rsid w:val="002F3EB1"/>
    <w:rsid w:val="002F4564"/>
    <w:rsid w:val="002F4B33"/>
    <w:rsid w:val="002F4E62"/>
    <w:rsid w:val="002F593D"/>
    <w:rsid w:val="002F67E3"/>
    <w:rsid w:val="002F7300"/>
    <w:rsid w:val="00300997"/>
    <w:rsid w:val="003015BE"/>
    <w:rsid w:val="003015C4"/>
    <w:rsid w:val="003024CC"/>
    <w:rsid w:val="00302C44"/>
    <w:rsid w:val="00302D3D"/>
    <w:rsid w:val="00302F9E"/>
    <w:rsid w:val="00304B47"/>
    <w:rsid w:val="00305EB3"/>
    <w:rsid w:val="00306409"/>
    <w:rsid w:val="00307ED1"/>
    <w:rsid w:val="003102A2"/>
    <w:rsid w:val="0031058D"/>
    <w:rsid w:val="0031137C"/>
    <w:rsid w:val="0031241E"/>
    <w:rsid w:val="00313130"/>
    <w:rsid w:val="00316A20"/>
    <w:rsid w:val="00316A63"/>
    <w:rsid w:val="00320905"/>
    <w:rsid w:val="00320C7A"/>
    <w:rsid w:val="00320EBC"/>
    <w:rsid w:val="00323038"/>
    <w:rsid w:val="0032364F"/>
    <w:rsid w:val="00323DCB"/>
    <w:rsid w:val="003249C5"/>
    <w:rsid w:val="00324D8F"/>
    <w:rsid w:val="00326583"/>
    <w:rsid w:val="00326AA5"/>
    <w:rsid w:val="003276F7"/>
    <w:rsid w:val="003277AC"/>
    <w:rsid w:val="00327AB2"/>
    <w:rsid w:val="00330DC4"/>
    <w:rsid w:val="003311EB"/>
    <w:rsid w:val="0033184C"/>
    <w:rsid w:val="00331A1C"/>
    <w:rsid w:val="00331B7A"/>
    <w:rsid w:val="00331C23"/>
    <w:rsid w:val="00333B24"/>
    <w:rsid w:val="00334005"/>
    <w:rsid w:val="00334EC3"/>
    <w:rsid w:val="00335791"/>
    <w:rsid w:val="00335BD1"/>
    <w:rsid w:val="00335D85"/>
    <w:rsid w:val="00336D24"/>
    <w:rsid w:val="003374B7"/>
    <w:rsid w:val="003377EA"/>
    <w:rsid w:val="0034484C"/>
    <w:rsid w:val="003451FE"/>
    <w:rsid w:val="00346912"/>
    <w:rsid w:val="003477A3"/>
    <w:rsid w:val="00347C42"/>
    <w:rsid w:val="003505C8"/>
    <w:rsid w:val="00351C66"/>
    <w:rsid w:val="0035281A"/>
    <w:rsid w:val="00352B2C"/>
    <w:rsid w:val="003542B2"/>
    <w:rsid w:val="00354E88"/>
    <w:rsid w:val="003550F9"/>
    <w:rsid w:val="00356F43"/>
    <w:rsid w:val="00360AE5"/>
    <w:rsid w:val="0036103B"/>
    <w:rsid w:val="00361D41"/>
    <w:rsid w:val="00362315"/>
    <w:rsid w:val="003624BF"/>
    <w:rsid w:val="003637B7"/>
    <w:rsid w:val="003637CD"/>
    <w:rsid w:val="00363D1A"/>
    <w:rsid w:val="0036543E"/>
    <w:rsid w:val="003657E6"/>
    <w:rsid w:val="00366E01"/>
    <w:rsid w:val="00366ED9"/>
    <w:rsid w:val="0037050F"/>
    <w:rsid w:val="003708B2"/>
    <w:rsid w:val="00371880"/>
    <w:rsid w:val="003730C3"/>
    <w:rsid w:val="003739ED"/>
    <w:rsid w:val="0037426C"/>
    <w:rsid w:val="00374B16"/>
    <w:rsid w:val="00375D85"/>
    <w:rsid w:val="003762FF"/>
    <w:rsid w:val="00376E35"/>
    <w:rsid w:val="0037725B"/>
    <w:rsid w:val="0037775E"/>
    <w:rsid w:val="00377BDD"/>
    <w:rsid w:val="003807AF"/>
    <w:rsid w:val="00380A41"/>
    <w:rsid w:val="00380E1E"/>
    <w:rsid w:val="003837AE"/>
    <w:rsid w:val="00384F98"/>
    <w:rsid w:val="00385106"/>
    <w:rsid w:val="00385425"/>
    <w:rsid w:val="00386D32"/>
    <w:rsid w:val="003901B0"/>
    <w:rsid w:val="00390D14"/>
    <w:rsid w:val="003914F2"/>
    <w:rsid w:val="00391BB0"/>
    <w:rsid w:val="00393997"/>
    <w:rsid w:val="00393FE6"/>
    <w:rsid w:val="00395F87"/>
    <w:rsid w:val="0039711D"/>
    <w:rsid w:val="00397F61"/>
    <w:rsid w:val="003A0266"/>
    <w:rsid w:val="003A06CB"/>
    <w:rsid w:val="003A0BB7"/>
    <w:rsid w:val="003A1837"/>
    <w:rsid w:val="003A2975"/>
    <w:rsid w:val="003A29EA"/>
    <w:rsid w:val="003A380B"/>
    <w:rsid w:val="003A4B29"/>
    <w:rsid w:val="003A4CE5"/>
    <w:rsid w:val="003A5106"/>
    <w:rsid w:val="003A53DC"/>
    <w:rsid w:val="003A5860"/>
    <w:rsid w:val="003B0E69"/>
    <w:rsid w:val="003B2215"/>
    <w:rsid w:val="003B2595"/>
    <w:rsid w:val="003B3A92"/>
    <w:rsid w:val="003B3E21"/>
    <w:rsid w:val="003B3E99"/>
    <w:rsid w:val="003B4C22"/>
    <w:rsid w:val="003B4D03"/>
    <w:rsid w:val="003B4E23"/>
    <w:rsid w:val="003B51C1"/>
    <w:rsid w:val="003B53EB"/>
    <w:rsid w:val="003B5B6F"/>
    <w:rsid w:val="003B63D0"/>
    <w:rsid w:val="003C02B7"/>
    <w:rsid w:val="003C0C1B"/>
    <w:rsid w:val="003C12E5"/>
    <w:rsid w:val="003C353C"/>
    <w:rsid w:val="003C48A0"/>
    <w:rsid w:val="003C6904"/>
    <w:rsid w:val="003C7ACD"/>
    <w:rsid w:val="003D056C"/>
    <w:rsid w:val="003D1945"/>
    <w:rsid w:val="003D37DD"/>
    <w:rsid w:val="003D3D3B"/>
    <w:rsid w:val="003D3F3D"/>
    <w:rsid w:val="003D53F4"/>
    <w:rsid w:val="003D58FB"/>
    <w:rsid w:val="003D7C4B"/>
    <w:rsid w:val="003E0550"/>
    <w:rsid w:val="003E2944"/>
    <w:rsid w:val="003E3868"/>
    <w:rsid w:val="003E41A3"/>
    <w:rsid w:val="003E4641"/>
    <w:rsid w:val="003E48FE"/>
    <w:rsid w:val="003E4D4C"/>
    <w:rsid w:val="003E4F43"/>
    <w:rsid w:val="003E5E9C"/>
    <w:rsid w:val="003F0146"/>
    <w:rsid w:val="003F020B"/>
    <w:rsid w:val="003F0B2A"/>
    <w:rsid w:val="003F1D75"/>
    <w:rsid w:val="003F2478"/>
    <w:rsid w:val="003F2BC7"/>
    <w:rsid w:val="003F3523"/>
    <w:rsid w:val="003F366A"/>
    <w:rsid w:val="003F38D6"/>
    <w:rsid w:val="003F514B"/>
    <w:rsid w:val="003F56D8"/>
    <w:rsid w:val="003F5BF0"/>
    <w:rsid w:val="003F5F53"/>
    <w:rsid w:val="003F6C07"/>
    <w:rsid w:val="003F6C21"/>
    <w:rsid w:val="00402A5A"/>
    <w:rsid w:val="00402FE7"/>
    <w:rsid w:val="00404DB7"/>
    <w:rsid w:val="0040688F"/>
    <w:rsid w:val="0040712E"/>
    <w:rsid w:val="004078C8"/>
    <w:rsid w:val="00407B2E"/>
    <w:rsid w:val="00407FF5"/>
    <w:rsid w:val="004115CC"/>
    <w:rsid w:val="00415707"/>
    <w:rsid w:val="00416139"/>
    <w:rsid w:val="004172C1"/>
    <w:rsid w:val="0041742F"/>
    <w:rsid w:val="004174B9"/>
    <w:rsid w:val="00420617"/>
    <w:rsid w:val="00420709"/>
    <w:rsid w:val="0042129A"/>
    <w:rsid w:val="00421A9F"/>
    <w:rsid w:val="00422A8D"/>
    <w:rsid w:val="00422C19"/>
    <w:rsid w:val="00422D73"/>
    <w:rsid w:val="00423303"/>
    <w:rsid w:val="004236ED"/>
    <w:rsid w:val="00423AE6"/>
    <w:rsid w:val="00423E75"/>
    <w:rsid w:val="00424523"/>
    <w:rsid w:val="004252B7"/>
    <w:rsid w:val="004259E5"/>
    <w:rsid w:val="00427108"/>
    <w:rsid w:val="0043002C"/>
    <w:rsid w:val="004306AC"/>
    <w:rsid w:val="004307C1"/>
    <w:rsid w:val="00431004"/>
    <w:rsid w:val="0043115A"/>
    <w:rsid w:val="0043141C"/>
    <w:rsid w:val="00431AB6"/>
    <w:rsid w:val="00431F37"/>
    <w:rsid w:val="00432AFD"/>
    <w:rsid w:val="00433AB3"/>
    <w:rsid w:val="00433B2C"/>
    <w:rsid w:val="00433B84"/>
    <w:rsid w:val="004340C5"/>
    <w:rsid w:val="00434B48"/>
    <w:rsid w:val="004351A6"/>
    <w:rsid w:val="00435DAD"/>
    <w:rsid w:val="00436920"/>
    <w:rsid w:val="00437132"/>
    <w:rsid w:val="00437DE5"/>
    <w:rsid w:val="00440A71"/>
    <w:rsid w:val="00441E8E"/>
    <w:rsid w:val="0044231D"/>
    <w:rsid w:val="0044283C"/>
    <w:rsid w:val="00444F8F"/>
    <w:rsid w:val="00445337"/>
    <w:rsid w:val="00445654"/>
    <w:rsid w:val="00445DA4"/>
    <w:rsid w:val="00446567"/>
    <w:rsid w:val="00446799"/>
    <w:rsid w:val="00450C52"/>
    <w:rsid w:val="004522E1"/>
    <w:rsid w:val="00452BCF"/>
    <w:rsid w:val="00452E32"/>
    <w:rsid w:val="0045313F"/>
    <w:rsid w:val="00453554"/>
    <w:rsid w:val="00454492"/>
    <w:rsid w:val="0045570E"/>
    <w:rsid w:val="004561A0"/>
    <w:rsid w:val="0045680A"/>
    <w:rsid w:val="00457243"/>
    <w:rsid w:val="004575C4"/>
    <w:rsid w:val="00457D11"/>
    <w:rsid w:val="00457E85"/>
    <w:rsid w:val="00460FAD"/>
    <w:rsid w:val="00461029"/>
    <w:rsid w:val="0046116D"/>
    <w:rsid w:val="00461C33"/>
    <w:rsid w:val="00462F27"/>
    <w:rsid w:val="00463095"/>
    <w:rsid w:val="00463115"/>
    <w:rsid w:val="00463607"/>
    <w:rsid w:val="00464B24"/>
    <w:rsid w:val="00464F25"/>
    <w:rsid w:val="00464F9C"/>
    <w:rsid w:val="0046531F"/>
    <w:rsid w:val="00465D81"/>
    <w:rsid w:val="00465EF1"/>
    <w:rsid w:val="00466E7C"/>
    <w:rsid w:val="00467C05"/>
    <w:rsid w:val="004719E7"/>
    <w:rsid w:val="0047207A"/>
    <w:rsid w:val="0047248E"/>
    <w:rsid w:val="00473191"/>
    <w:rsid w:val="00474AF3"/>
    <w:rsid w:val="00474DD8"/>
    <w:rsid w:val="00476FFD"/>
    <w:rsid w:val="004813AF"/>
    <w:rsid w:val="004824C1"/>
    <w:rsid w:val="004837E3"/>
    <w:rsid w:val="00485658"/>
    <w:rsid w:val="0048657E"/>
    <w:rsid w:val="00486C28"/>
    <w:rsid w:val="004874E3"/>
    <w:rsid w:val="00490173"/>
    <w:rsid w:val="00490EFF"/>
    <w:rsid w:val="00492D43"/>
    <w:rsid w:val="004936FC"/>
    <w:rsid w:val="004941DD"/>
    <w:rsid w:val="00494975"/>
    <w:rsid w:val="004955F3"/>
    <w:rsid w:val="004959A5"/>
    <w:rsid w:val="00496977"/>
    <w:rsid w:val="00496C26"/>
    <w:rsid w:val="004A2175"/>
    <w:rsid w:val="004A2559"/>
    <w:rsid w:val="004A3A96"/>
    <w:rsid w:val="004A4164"/>
    <w:rsid w:val="004A455A"/>
    <w:rsid w:val="004A4747"/>
    <w:rsid w:val="004A524D"/>
    <w:rsid w:val="004A5FFD"/>
    <w:rsid w:val="004A7CE2"/>
    <w:rsid w:val="004B0266"/>
    <w:rsid w:val="004B02AD"/>
    <w:rsid w:val="004B0321"/>
    <w:rsid w:val="004B043F"/>
    <w:rsid w:val="004B094A"/>
    <w:rsid w:val="004B0BC0"/>
    <w:rsid w:val="004B1618"/>
    <w:rsid w:val="004B24E7"/>
    <w:rsid w:val="004B2609"/>
    <w:rsid w:val="004B32D3"/>
    <w:rsid w:val="004B412F"/>
    <w:rsid w:val="004B509C"/>
    <w:rsid w:val="004B5AFE"/>
    <w:rsid w:val="004B5F52"/>
    <w:rsid w:val="004C15D4"/>
    <w:rsid w:val="004C503E"/>
    <w:rsid w:val="004C50D7"/>
    <w:rsid w:val="004C5A9C"/>
    <w:rsid w:val="004C6D98"/>
    <w:rsid w:val="004C70CE"/>
    <w:rsid w:val="004D0DDA"/>
    <w:rsid w:val="004D132E"/>
    <w:rsid w:val="004D293C"/>
    <w:rsid w:val="004D4E09"/>
    <w:rsid w:val="004D5DD4"/>
    <w:rsid w:val="004D67BA"/>
    <w:rsid w:val="004D733E"/>
    <w:rsid w:val="004D734E"/>
    <w:rsid w:val="004D7A7D"/>
    <w:rsid w:val="004D7F70"/>
    <w:rsid w:val="004E0D2F"/>
    <w:rsid w:val="004E13B8"/>
    <w:rsid w:val="004E1EC0"/>
    <w:rsid w:val="004E41A8"/>
    <w:rsid w:val="004E4C55"/>
    <w:rsid w:val="004E4DF2"/>
    <w:rsid w:val="004E58F6"/>
    <w:rsid w:val="004E6BE5"/>
    <w:rsid w:val="004E6DF1"/>
    <w:rsid w:val="004E74AE"/>
    <w:rsid w:val="004F01B5"/>
    <w:rsid w:val="004F0256"/>
    <w:rsid w:val="004F0FFD"/>
    <w:rsid w:val="004F29F5"/>
    <w:rsid w:val="004F2ABE"/>
    <w:rsid w:val="004F2FBF"/>
    <w:rsid w:val="004F4568"/>
    <w:rsid w:val="004F5519"/>
    <w:rsid w:val="004F5BFF"/>
    <w:rsid w:val="004F6659"/>
    <w:rsid w:val="004F7C64"/>
    <w:rsid w:val="004F7EE5"/>
    <w:rsid w:val="00500B11"/>
    <w:rsid w:val="005024C0"/>
    <w:rsid w:val="00503252"/>
    <w:rsid w:val="005039A2"/>
    <w:rsid w:val="00503D8F"/>
    <w:rsid w:val="00505850"/>
    <w:rsid w:val="00506ED0"/>
    <w:rsid w:val="0050791D"/>
    <w:rsid w:val="00510168"/>
    <w:rsid w:val="00510B54"/>
    <w:rsid w:val="0051153B"/>
    <w:rsid w:val="00511745"/>
    <w:rsid w:val="0051270F"/>
    <w:rsid w:val="00512D77"/>
    <w:rsid w:val="00513BD4"/>
    <w:rsid w:val="00514C5E"/>
    <w:rsid w:val="005173CA"/>
    <w:rsid w:val="00517E6C"/>
    <w:rsid w:val="005202C2"/>
    <w:rsid w:val="005203D4"/>
    <w:rsid w:val="005207C8"/>
    <w:rsid w:val="00523213"/>
    <w:rsid w:val="00523738"/>
    <w:rsid w:val="00523C31"/>
    <w:rsid w:val="00525362"/>
    <w:rsid w:val="005255EB"/>
    <w:rsid w:val="00525CFE"/>
    <w:rsid w:val="00525F8C"/>
    <w:rsid w:val="00527497"/>
    <w:rsid w:val="00527906"/>
    <w:rsid w:val="00530A3A"/>
    <w:rsid w:val="005322FB"/>
    <w:rsid w:val="00532966"/>
    <w:rsid w:val="005348F8"/>
    <w:rsid w:val="00536044"/>
    <w:rsid w:val="0053650B"/>
    <w:rsid w:val="00537136"/>
    <w:rsid w:val="005400F6"/>
    <w:rsid w:val="00540F0E"/>
    <w:rsid w:val="00540F35"/>
    <w:rsid w:val="00541064"/>
    <w:rsid w:val="00544740"/>
    <w:rsid w:val="00544C4C"/>
    <w:rsid w:val="00544CC2"/>
    <w:rsid w:val="00546722"/>
    <w:rsid w:val="00546CD3"/>
    <w:rsid w:val="00546FE6"/>
    <w:rsid w:val="0054724F"/>
    <w:rsid w:val="005507A7"/>
    <w:rsid w:val="00551C9D"/>
    <w:rsid w:val="0055209E"/>
    <w:rsid w:val="005542BE"/>
    <w:rsid w:val="00555125"/>
    <w:rsid w:val="00555959"/>
    <w:rsid w:val="00555E3A"/>
    <w:rsid w:val="005573CD"/>
    <w:rsid w:val="00560302"/>
    <w:rsid w:val="005610ED"/>
    <w:rsid w:val="00562B28"/>
    <w:rsid w:val="00562B92"/>
    <w:rsid w:val="00562C57"/>
    <w:rsid w:val="00562C8F"/>
    <w:rsid w:val="00563082"/>
    <w:rsid w:val="005634DD"/>
    <w:rsid w:val="00565460"/>
    <w:rsid w:val="00565DA9"/>
    <w:rsid w:val="00565F27"/>
    <w:rsid w:val="00566697"/>
    <w:rsid w:val="00566A95"/>
    <w:rsid w:val="00567024"/>
    <w:rsid w:val="00567220"/>
    <w:rsid w:val="005672A7"/>
    <w:rsid w:val="00567C0A"/>
    <w:rsid w:val="00567D10"/>
    <w:rsid w:val="00570308"/>
    <w:rsid w:val="00570360"/>
    <w:rsid w:val="00571658"/>
    <w:rsid w:val="005750AA"/>
    <w:rsid w:val="0057517F"/>
    <w:rsid w:val="00575250"/>
    <w:rsid w:val="00575362"/>
    <w:rsid w:val="005763EF"/>
    <w:rsid w:val="00576440"/>
    <w:rsid w:val="00577814"/>
    <w:rsid w:val="005807CA"/>
    <w:rsid w:val="00580A1B"/>
    <w:rsid w:val="00581442"/>
    <w:rsid w:val="00581B7C"/>
    <w:rsid w:val="00581F95"/>
    <w:rsid w:val="0058346F"/>
    <w:rsid w:val="005839C4"/>
    <w:rsid w:val="00583A79"/>
    <w:rsid w:val="00583CCD"/>
    <w:rsid w:val="00583E39"/>
    <w:rsid w:val="00584A2E"/>
    <w:rsid w:val="00586C8F"/>
    <w:rsid w:val="005871F9"/>
    <w:rsid w:val="00590429"/>
    <w:rsid w:val="005915BA"/>
    <w:rsid w:val="005921A2"/>
    <w:rsid w:val="00594061"/>
    <w:rsid w:val="0059413C"/>
    <w:rsid w:val="00594B1D"/>
    <w:rsid w:val="00595430"/>
    <w:rsid w:val="00595A2F"/>
    <w:rsid w:val="00595CA9"/>
    <w:rsid w:val="00597EEB"/>
    <w:rsid w:val="005A0EAA"/>
    <w:rsid w:val="005A1ABE"/>
    <w:rsid w:val="005A2843"/>
    <w:rsid w:val="005A30AE"/>
    <w:rsid w:val="005A3D58"/>
    <w:rsid w:val="005A5B02"/>
    <w:rsid w:val="005A5B66"/>
    <w:rsid w:val="005A7475"/>
    <w:rsid w:val="005A7BE6"/>
    <w:rsid w:val="005B09D1"/>
    <w:rsid w:val="005B0B1B"/>
    <w:rsid w:val="005B11DD"/>
    <w:rsid w:val="005B1D87"/>
    <w:rsid w:val="005B2987"/>
    <w:rsid w:val="005B2BBB"/>
    <w:rsid w:val="005B38D5"/>
    <w:rsid w:val="005B419E"/>
    <w:rsid w:val="005B4755"/>
    <w:rsid w:val="005B5517"/>
    <w:rsid w:val="005B64A1"/>
    <w:rsid w:val="005B666C"/>
    <w:rsid w:val="005B797A"/>
    <w:rsid w:val="005C0138"/>
    <w:rsid w:val="005C0D7C"/>
    <w:rsid w:val="005C108A"/>
    <w:rsid w:val="005C177B"/>
    <w:rsid w:val="005C1A41"/>
    <w:rsid w:val="005C1C69"/>
    <w:rsid w:val="005C1C7E"/>
    <w:rsid w:val="005C2770"/>
    <w:rsid w:val="005C27AA"/>
    <w:rsid w:val="005C36D2"/>
    <w:rsid w:val="005C3A03"/>
    <w:rsid w:val="005C414C"/>
    <w:rsid w:val="005C429D"/>
    <w:rsid w:val="005C6B07"/>
    <w:rsid w:val="005C6FD0"/>
    <w:rsid w:val="005C780F"/>
    <w:rsid w:val="005C7EFF"/>
    <w:rsid w:val="005D1253"/>
    <w:rsid w:val="005D2BD7"/>
    <w:rsid w:val="005D3EF9"/>
    <w:rsid w:val="005D3F52"/>
    <w:rsid w:val="005D4DC3"/>
    <w:rsid w:val="005D4EF9"/>
    <w:rsid w:val="005D6D6C"/>
    <w:rsid w:val="005D7260"/>
    <w:rsid w:val="005E1DA5"/>
    <w:rsid w:val="005E2C8D"/>
    <w:rsid w:val="005E4A87"/>
    <w:rsid w:val="005E54E2"/>
    <w:rsid w:val="005E5AA4"/>
    <w:rsid w:val="005E6D3E"/>
    <w:rsid w:val="005E725E"/>
    <w:rsid w:val="005E7962"/>
    <w:rsid w:val="005E7D7A"/>
    <w:rsid w:val="005F242A"/>
    <w:rsid w:val="005F35DE"/>
    <w:rsid w:val="005F463C"/>
    <w:rsid w:val="005F4DFC"/>
    <w:rsid w:val="005F5813"/>
    <w:rsid w:val="005F5A51"/>
    <w:rsid w:val="005F67D6"/>
    <w:rsid w:val="00601B65"/>
    <w:rsid w:val="00601C18"/>
    <w:rsid w:val="0060350A"/>
    <w:rsid w:val="006047B9"/>
    <w:rsid w:val="00604A25"/>
    <w:rsid w:val="00604B6A"/>
    <w:rsid w:val="0060701E"/>
    <w:rsid w:val="00611567"/>
    <w:rsid w:val="00611A88"/>
    <w:rsid w:val="00612A8E"/>
    <w:rsid w:val="006139FB"/>
    <w:rsid w:val="00613A6C"/>
    <w:rsid w:val="00614BD5"/>
    <w:rsid w:val="00616BEC"/>
    <w:rsid w:val="006200B8"/>
    <w:rsid w:val="00620B3E"/>
    <w:rsid w:val="006223AD"/>
    <w:rsid w:val="006224C1"/>
    <w:rsid w:val="00622CFA"/>
    <w:rsid w:val="00622EF9"/>
    <w:rsid w:val="00623DB8"/>
    <w:rsid w:val="0062416F"/>
    <w:rsid w:val="00624311"/>
    <w:rsid w:val="00625ABE"/>
    <w:rsid w:val="00625D9F"/>
    <w:rsid w:val="00625FFA"/>
    <w:rsid w:val="00630086"/>
    <w:rsid w:val="00630540"/>
    <w:rsid w:val="006327B6"/>
    <w:rsid w:val="00632C5E"/>
    <w:rsid w:val="006363BF"/>
    <w:rsid w:val="006368F6"/>
    <w:rsid w:val="0064050C"/>
    <w:rsid w:val="0064181B"/>
    <w:rsid w:val="00641AC9"/>
    <w:rsid w:val="00641B34"/>
    <w:rsid w:val="00641E3C"/>
    <w:rsid w:val="0064245C"/>
    <w:rsid w:val="006424CD"/>
    <w:rsid w:val="006440D0"/>
    <w:rsid w:val="006443A4"/>
    <w:rsid w:val="0064471E"/>
    <w:rsid w:val="00644C95"/>
    <w:rsid w:val="0064505E"/>
    <w:rsid w:val="00646F11"/>
    <w:rsid w:val="006471A6"/>
    <w:rsid w:val="0065057E"/>
    <w:rsid w:val="0065143E"/>
    <w:rsid w:val="00651C4C"/>
    <w:rsid w:val="006522A7"/>
    <w:rsid w:val="0065251A"/>
    <w:rsid w:val="00652E79"/>
    <w:rsid w:val="0065332C"/>
    <w:rsid w:val="00653EF8"/>
    <w:rsid w:val="00654754"/>
    <w:rsid w:val="00655E23"/>
    <w:rsid w:val="00656B41"/>
    <w:rsid w:val="00657555"/>
    <w:rsid w:val="006603C2"/>
    <w:rsid w:val="006618CF"/>
    <w:rsid w:val="00661E33"/>
    <w:rsid w:val="00663521"/>
    <w:rsid w:val="006646EB"/>
    <w:rsid w:val="00664EB4"/>
    <w:rsid w:val="00666C30"/>
    <w:rsid w:val="00667064"/>
    <w:rsid w:val="00667294"/>
    <w:rsid w:val="006704C6"/>
    <w:rsid w:val="00670A30"/>
    <w:rsid w:val="00672104"/>
    <w:rsid w:val="00672499"/>
    <w:rsid w:val="00673127"/>
    <w:rsid w:val="00673151"/>
    <w:rsid w:val="00676080"/>
    <w:rsid w:val="0067728F"/>
    <w:rsid w:val="00677E51"/>
    <w:rsid w:val="006811AF"/>
    <w:rsid w:val="00681A3D"/>
    <w:rsid w:val="00681E1A"/>
    <w:rsid w:val="00682792"/>
    <w:rsid w:val="00684BC2"/>
    <w:rsid w:val="00684EA6"/>
    <w:rsid w:val="00685498"/>
    <w:rsid w:val="00686B33"/>
    <w:rsid w:val="00686C6E"/>
    <w:rsid w:val="006871EC"/>
    <w:rsid w:val="0069036F"/>
    <w:rsid w:val="00690DA5"/>
    <w:rsid w:val="00690E68"/>
    <w:rsid w:val="006914DA"/>
    <w:rsid w:val="0069246B"/>
    <w:rsid w:val="00692902"/>
    <w:rsid w:val="0069302E"/>
    <w:rsid w:val="006937EE"/>
    <w:rsid w:val="00693808"/>
    <w:rsid w:val="0069392C"/>
    <w:rsid w:val="00695D5C"/>
    <w:rsid w:val="006A0DA4"/>
    <w:rsid w:val="006A0E21"/>
    <w:rsid w:val="006A1492"/>
    <w:rsid w:val="006A2560"/>
    <w:rsid w:val="006A263B"/>
    <w:rsid w:val="006A3441"/>
    <w:rsid w:val="006A6D45"/>
    <w:rsid w:val="006A6DC2"/>
    <w:rsid w:val="006A73EF"/>
    <w:rsid w:val="006A770B"/>
    <w:rsid w:val="006A7E9D"/>
    <w:rsid w:val="006A7EF1"/>
    <w:rsid w:val="006B0FA1"/>
    <w:rsid w:val="006B100E"/>
    <w:rsid w:val="006B2EE8"/>
    <w:rsid w:val="006B4443"/>
    <w:rsid w:val="006B522A"/>
    <w:rsid w:val="006B5A70"/>
    <w:rsid w:val="006B5B11"/>
    <w:rsid w:val="006B5C31"/>
    <w:rsid w:val="006B62AD"/>
    <w:rsid w:val="006B6304"/>
    <w:rsid w:val="006B6523"/>
    <w:rsid w:val="006B7401"/>
    <w:rsid w:val="006C02D6"/>
    <w:rsid w:val="006C054C"/>
    <w:rsid w:val="006C0D0D"/>
    <w:rsid w:val="006C2082"/>
    <w:rsid w:val="006C25F4"/>
    <w:rsid w:val="006C3B42"/>
    <w:rsid w:val="006C6BE6"/>
    <w:rsid w:val="006C6F95"/>
    <w:rsid w:val="006C71D7"/>
    <w:rsid w:val="006D0702"/>
    <w:rsid w:val="006D0BA8"/>
    <w:rsid w:val="006D1BC0"/>
    <w:rsid w:val="006D2779"/>
    <w:rsid w:val="006D27F0"/>
    <w:rsid w:val="006D2DB9"/>
    <w:rsid w:val="006D3DBE"/>
    <w:rsid w:val="006D4999"/>
    <w:rsid w:val="006D50D6"/>
    <w:rsid w:val="006D5494"/>
    <w:rsid w:val="006D59B2"/>
    <w:rsid w:val="006D59DB"/>
    <w:rsid w:val="006D65E5"/>
    <w:rsid w:val="006D6785"/>
    <w:rsid w:val="006D67E9"/>
    <w:rsid w:val="006E0DD2"/>
    <w:rsid w:val="006E4EAE"/>
    <w:rsid w:val="006E500C"/>
    <w:rsid w:val="006E506E"/>
    <w:rsid w:val="006E512E"/>
    <w:rsid w:val="006E5579"/>
    <w:rsid w:val="006E59C3"/>
    <w:rsid w:val="006E6043"/>
    <w:rsid w:val="006E65B8"/>
    <w:rsid w:val="006E6E57"/>
    <w:rsid w:val="006F0F37"/>
    <w:rsid w:val="006F1A73"/>
    <w:rsid w:val="006F1BD0"/>
    <w:rsid w:val="006F2BC0"/>
    <w:rsid w:val="006F473E"/>
    <w:rsid w:val="006F49FC"/>
    <w:rsid w:val="006F7635"/>
    <w:rsid w:val="006F7C69"/>
    <w:rsid w:val="006F7D58"/>
    <w:rsid w:val="00700C18"/>
    <w:rsid w:val="00701006"/>
    <w:rsid w:val="00701F01"/>
    <w:rsid w:val="00703B7E"/>
    <w:rsid w:val="00704CE5"/>
    <w:rsid w:val="0070547C"/>
    <w:rsid w:val="00705C32"/>
    <w:rsid w:val="00705C55"/>
    <w:rsid w:val="007063CD"/>
    <w:rsid w:val="00710074"/>
    <w:rsid w:val="0071059F"/>
    <w:rsid w:val="00710ACC"/>
    <w:rsid w:val="007115A4"/>
    <w:rsid w:val="0071196E"/>
    <w:rsid w:val="007135AF"/>
    <w:rsid w:val="0071364C"/>
    <w:rsid w:val="007137A7"/>
    <w:rsid w:val="00713B81"/>
    <w:rsid w:val="00716F6A"/>
    <w:rsid w:val="00720A84"/>
    <w:rsid w:val="007215D0"/>
    <w:rsid w:val="0072211F"/>
    <w:rsid w:val="0072287E"/>
    <w:rsid w:val="00723890"/>
    <w:rsid w:val="0072434E"/>
    <w:rsid w:val="00725AED"/>
    <w:rsid w:val="0072710A"/>
    <w:rsid w:val="0072748D"/>
    <w:rsid w:val="00730C8E"/>
    <w:rsid w:val="00731D00"/>
    <w:rsid w:val="007321BF"/>
    <w:rsid w:val="007324D0"/>
    <w:rsid w:val="00732654"/>
    <w:rsid w:val="00733539"/>
    <w:rsid w:val="00733AE6"/>
    <w:rsid w:val="00734D2E"/>
    <w:rsid w:val="00735791"/>
    <w:rsid w:val="00735E2F"/>
    <w:rsid w:val="00736175"/>
    <w:rsid w:val="0073635A"/>
    <w:rsid w:val="007400C8"/>
    <w:rsid w:val="007416F2"/>
    <w:rsid w:val="00743A45"/>
    <w:rsid w:val="00743CC8"/>
    <w:rsid w:val="00743FEB"/>
    <w:rsid w:val="007442CD"/>
    <w:rsid w:val="00744625"/>
    <w:rsid w:val="007456F5"/>
    <w:rsid w:val="007470CA"/>
    <w:rsid w:val="007477A2"/>
    <w:rsid w:val="00747F5B"/>
    <w:rsid w:val="00751675"/>
    <w:rsid w:val="00752D17"/>
    <w:rsid w:val="00755EE4"/>
    <w:rsid w:val="0075685D"/>
    <w:rsid w:val="007569CD"/>
    <w:rsid w:val="00757877"/>
    <w:rsid w:val="00760B89"/>
    <w:rsid w:val="00762C19"/>
    <w:rsid w:val="0076373B"/>
    <w:rsid w:val="00763A50"/>
    <w:rsid w:val="00763DC3"/>
    <w:rsid w:val="007648D9"/>
    <w:rsid w:val="00767A03"/>
    <w:rsid w:val="00770313"/>
    <w:rsid w:val="0077066C"/>
    <w:rsid w:val="00770968"/>
    <w:rsid w:val="00770EF0"/>
    <w:rsid w:val="007714E5"/>
    <w:rsid w:val="0077197B"/>
    <w:rsid w:val="007726B0"/>
    <w:rsid w:val="00773255"/>
    <w:rsid w:val="00774315"/>
    <w:rsid w:val="0077515A"/>
    <w:rsid w:val="00775C97"/>
    <w:rsid w:val="00776C82"/>
    <w:rsid w:val="00776F9C"/>
    <w:rsid w:val="007808DA"/>
    <w:rsid w:val="0078287B"/>
    <w:rsid w:val="00782FC6"/>
    <w:rsid w:val="00786B92"/>
    <w:rsid w:val="00787F41"/>
    <w:rsid w:val="007902DF"/>
    <w:rsid w:val="00790C36"/>
    <w:rsid w:val="0079236A"/>
    <w:rsid w:val="00792B40"/>
    <w:rsid w:val="00793618"/>
    <w:rsid w:val="007948A7"/>
    <w:rsid w:val="0079665D"/>
    <w:rsid w:val="007968A1"/>
    <w:rsid w:val="007968C2"/>
    <w:rsid w:val="00797ABE"/>
    <w:rsid w:val="007A00C9"/>
    <w:rsid w:val="007A1180"/>
    <w:rsid w:val="007A207B"/>
    <w:rsid w:val="007A28DB"/>
    <w:rsid w:val="007A370A"/>
    <w:rsid w:val="007A42B8"/>
    <w:rsid w:val="007A479E"/>
    <w:rsid w:val="007A4B58"/>
    <w:rsid w:val="007A7476"/>
    <w:rsid w:val="007A7F48"/>
    <w:rsid w:val="007B03C6"/>
    <w:rsid w:val="007B04D2"/>
    <w:rsid w:val="007B0F7F"/>
    <w:rsid w:val="007B141B"/>
    <w:rsid w:val="007B2501"/>
    <w:rsid w:val="007B2EE4"/>
    <w:rsid w:val="007B4918"/>
    <w:rsid w:val="007B57F1"/>
    <w:rsid w:val="007B6258"/>
    <w:rsid w:val="007B67BE"/>
    <w:rsid w:val="007C116D"/>
    <w:rsid w:val="007C1221"/>
    <w:rsid w:val="007C1A55"/>
    <w:rsid w:val="007C1D16"/>
    <w:rsid w:val="007C2E60"/>
    <w:rsid w:val="007C2EA5"/>
    <w:rsid w:val="007C3B08"/>
    <w:rsid w:val="007C4A4D"/>
    <w:rsid w:val="007C4AAC"/>
    <w:rsid w:val="007C5231"/>
    <w:rsid w:val="007C548C"/>
    <w:rsid w:val="007C5781"/>
    <w:rsid w:val="007C65BA"/>
    <w:rsid w:val="007C695C"/>
    <w:rsid w:val="007C6FDF"/>
    <w:rsid w:val="007D00DE"/>
    <w:rsid w:val="007D060C"/>
    <w:rsid w:val="007D0AF9"/>
    <w:rsid w:val="007D1197"/>
    <w:rsid w:val="007D20DE"/>
    <w:rsid w:val="007D38E4"/>
    <w:rsid w:val="007D4C4A"/>
    <w:rsid w:val="007D51B2"/>
    <w:rsid w:val="007D5AC9"/>
    <w:rsid w:val="007D5AD2"/>
    <w:rsid w:val="007D5B9A"/>
    <w:rsid w:val="007E0DDF"/>
    <w:rsid w:val="007E2546"/>
    <w:rsid w:val="007E25D8"/>
    <w:rsid w:val="007E2BED"/>
    <w:rsid w:val="007E3A30"/>
    <w:rsid w:val="007E4071"/>
    <w:rsid w:val="007E6C27"/>
    <w:rsid w:val="007E7EE5"/>
    <w:rsid w:val="007F0264"/>
    <w:rsid w:val="007F057C"/>
    <w:rsid w:val="007F0674"/>
    <w:rsid w:val="007F15D8"/>
    <w:rsid w:val="007F320A"/>
    <w:rsid w:val="007F3798"/>
    <w:rsid w:val="007F5F46"/>
    <w:rsid w:val="007F676D"/>
    <w:rsid w:val="007F7169"/>
    <w:rsid w:val="00800211"/>
    <w:rsid w:val="00801754"/>
    <w:rsid w:val="00803ED2"/>
    <w:rsid w:val="00804AA9"/>
    <w:rsid w:val="00804BC0"/>
    <w:rsid w:val="00804CA0"/>
    <w:rsid w:val="0080506D"/>
    <w:rsid w:val="00806480"/>
    <w:rsid w:val="008066C2"/>
    <w:rsid w:val="008068CE"/>
    <w:rsid w:val="00807AC7"/>
    <w:rsid w:val="00807E19"/>
    <w:rsid w:val="00807E78"/>
    <w:rsid w:val="008106B3"/>
    <w:rsid w:val="00811968"/>
    <w:rsid w:val="00811C1D"/>
    <w:rsid w:val="0081228C"/>
    <w:rsid w:val="00813E85"/>
    <w:rsid w:val="00815907"/>
    <w:rsid w:val="00815C1F"/>
    <w:rsid w:val="00816369"/>
    <w:rsid w:val="008236DF"/>
    <w:rsid w:val="00823D01"/>
    <w:rsid w:val="00823E80"/>
    <w:rsid w:val="008249B8"/>
    <w:rsid w:val="008251A0"/>
    <w:rsid w:val="0082526E"/>
    <w:rsid w:val="008271E1"/>
    <w:rsid w:val="008305F0"/>
    <w:rsid w:val="008306CC"/>
    <w:rsid w:val="008318A1"/>
    <w:rsid w:val="00832C34"/>
    <w:rsid w:val="00833984"/>
    <w:rsid w:val="008345E2"/>
    <w:rsid w:val="00835DF7"/>
    <w:rsid w:val="00837C02"/>
    <w:rsid w:val="0084135D"/>
    <w:rsid w:val="008413EC"/>
    <w:rsid w:val="00842997"/>
    <w:rsid w:val="0084399A"/>
    <w:rsid w:val="00845D98"/>
    <w:rsid w:val="0084621D"/>
    <w:rsid w:val="00846B2E"/>
    <w:rsid w:val="00847960"/>
    <w:rsid w:val="008508AA"/>
    <w:rsid w:val="008519FA"/>
    <w:rsid w:val="008522F4"/>
    <w:rsid w:val="00852EDE"/>
    <w:rsid w:val="00854EC8"/>
    <w:rsid w:val="0085504F"/>
    <w:rsid w:val="00855CB0"/>
    <w:rsid w:val="00855EB5"/>
    <w:rsid w:val="008564B3"/>
    <w:rsid w:val="008565A4"/>
    <w:rsid w:val="00856B2A"/>
    <w:rsid w:val="00857E54"/>
    <w:rsid w:val="00860A1C"/>
    <w:rsid w:val="00862407"/>
    <w:rsid w:val="00862BAF"/>
    <w:rsid w:val="00862D19"/>
    <w:rsid w:val="008637B1"/>
    <w:rsid w:val="00864413"/>
    <w:rsid w:val="00864D5F"/>
    <w:rsid w:val="00865784"/>
    <w:rsid w:val="008659FF"/>
    <w:rsid w:val="0086600D"/>
    <w:rsid w:val="00866202"/>
    <w:rsid w:val="0086633A"/>
    <w:rsid w:val="00866D71"/>
    <w:rsid w:val="00867526"/>
    <w:rsid w:val="00867917"/>
    <w:rsid w:val="00867B79"/>
    <w:rsid w:val="008703BA"/>
    <w:rsid w:val="008707B7"/>
    <w:rsid w:val="00871CE8"/>
    <w:rsid w:val="0087378D"/>
    <w:rsid w:val="00873F21"/>
    <w:rsid w:val="00874616"/>
    <w:rsid w:val="00874636"/>
    <w:rsid w:val="00875EB4"/>
    <w:rsid w:val="00876AEC"/>
    <w:rsid w:val="00880473"/>
    <w:rsid w:val="00881286"/>
    <w:rsid w:val="00881B78"/>
    <w:rsid w:val="00881E4B"/>
    <w:rsid w:val="00882156"/>
    <w:rsid w:val="00884245"/>
    <w:rsid w:val="00884A0D"/>
    <w:rsid w:val="00884EAE"/>
    <w:rsid w:val="00884ED8"/>
    <w:rsid w:val="00884FE0"/>
    <w:rsid w:val="0088534B"/>
    <w:rsid w:val="008863CD"/>
    <w:rsid w:val="008867DE"/>
    <w:rsid w:val="00887230"/>
    <w:rsid w:val="008876D5"/>
    <w:rsid w:val="008879C3"/>
    <w:rsid w:val="00887C0C"/>
    <w:rsid w:val="00887F9D"/>
    <w:rsid w:val="00890E2B"/>
    <w:rsid w:val="00891681"/>
    <w:rsid w:val="00891EF6"/>
    <w:rsid w:val="00892113"/>
    <w:rsid w:val="00892CF0"/>
    <w:rsid w:val="00893C89"/>
    <w:rsid w:val="00894BD1"/>
    <w:rsid w:val="00895417"/>
    <w:rsid w:val="00895BF1"/>
    <w:rsid w:val="00896FA2"/>
    <w:rsid w:val="008970B9"/>
    <w:rsid w:val="008972CD"/>
    <w:rsid w:val="00897582"/>
    <w:rsid w:val="008A029F"/>
    <w:rsid w:val="008A03EC"/>
    <w:rsid w:val="008A08D9"/>
    <w:rsid w:val="008A0EF3"/>
    <w:rsid w:val="008A15FF"/>
    <w:rsid w:val="008A29D6"/>
    <w:rsid w:val="008A4645"/>
    <w:rsid w:val="008A466E"/>
    <w:rsid w:val="008A4CE3"/>
    <w:rsid w:val="008A54C9"/>
    <w:rsid w:val="008A6505"/>
    <w:rsid w:val="008A7419"/>
    <w:rsid w:val="008A778E"/>
    <w:rsid w:val="008B01A2"/>
    <w:rsid w:val="008B04B7"/>
    <w:rsid w:val="008B0632"/>
    <w:rsid w:val="008B1239"/>
    <w:rsid w:val="008B1488"/>
    <w:rsid w:val="008B1AD3"/>
    <w:rsid w:val="008B7BF4"/>
    <w:rsid w:val="008C00C9"/>
    <w:rsid w:val="008C033E"/>
    <w:rsid w:val="008C0AE5"/>
    <w:rsid w:val="008C179D"/>
    <w:rsid w:val="008C1DAC"/>
    <w:rsid w:val="008C23F2"/>
    <w:rsid w:val="008C2B1F"/>
    <w:rsid w:val="008C2F8D"/>
    <w:rsid w:val="008C369F"/>
    <w:rsid w:val="008C3D3A"/>
    <w:rsid w:val="008C429B"/>
    <w:rsid w:val="008C4398"/>
    <w:rsid w:val="008C49B6"/>
    <w:rsid w:val="008C4EED"/>
    <w:rsid w:val="008C5115"/>
    <w:rsid w:val="008C60B1"/>
    <w:rsid w:val="008C614E"/>
    <w:rsid w:val="008C62B8"/>
    <w:rsid w:val="008C7015"/>
    <w:rsid w:val="008C7A76"/>
    <w:rsid w:val="008D02EB"/>
    <w:rsid w:val="008D05C4"/>
    <w:rsid w:val="008D0800"/>
    <w:rsid w:val="008D0E6F"/>
    <w:rsid w:val="008D13A6"/>
    <w:rsid w:val="008D17FA"/>
    <w:rsid w:val="008D2635"/>
    <w:rsid w:val="008D2998"/>
    <w:rsid w:val="008D2F27"/>
    <w:rsid w:val="008D4454"/>
    <w:rsid w:val="008D47E5"/>
    <w:rsid w:val="008D53B2"/>
    <w:rsid w:val="008D6399"/>
    <w:rsid w:val="008D6B36"/>
    <w:rsid w:val="008D7B75"/>
    <w:rsid w:val="008E084C"/>
    <w:rsid w:val="008E21E2"/>
    <w:rsid w:val="008E7911"/>
    <w:rsid w:val="008E7A12"/>
    <w:rsid w:val="008F0690"/>
    <w:rsid w:val="008F06F7"/>
    <w:rsid w:val="008F136A"/>
    <w:rsid w:val="008F1E7F"/>
    <w:rsid w:val="008F29B3"/>
    <w:rsid w:val="008F2DE4"/>
    <w:rsid w:val="008F3386"/>
    <w:rsid w:val="008F52F2"/>
    <w:rsid w:val="008F6A91"/>
    <w:rsid w:val="008F706A"/>
    <w:rsid w:val="008F722B"/>
    <w:rsid w:val="008F7DA9"/>
    <w:rsid w:val="009002C4"/>
    <w:rsid w:val="00900306"/>
    <w:rsid w:val="00900916"/>
    <w:rsid w:val="00901641"/>
    <w:rsid w:val="00901823"/>
    <w:rsid w:val="00901867"/>
    <w:rsid w:val="00902EBC"/>
    <w:rsid w:val="00902F4F"/>
    <w:rsid w:val="00904896"/>
    <w:rsid w:val="009061E8"/>
    <w:rsid w:val="00906A1A"/>
    <w:rsid w:val="00907157"/>
    <w:rsid w:val="00907503"/>
    <w:rsid w:val="00907839"/>
    <w:rsid w:val="009079B0"/>
    <w:rsid w:val="009102A8"/>
    <w:rsid w:val="00910EA7"/>
    <w:rsid w:val="009115E6"/>
    <w:rsid w:val="00912AAF"/>
    <w:rsid w:val="00912D45"/>
    <w:rsid w:val="00915E0D"/>
    <w:rsid w:val="009167E0"/>
    <w:rsid w:val="00917365"/>
    <w:rsid w:val="00917398"/>
    <w:rsid w:val="00917856"/>
    <w:rsid w:val="00917E21"/>
    <w:rsid w:val="00920043"/>
    <w:rsid w:val="009201FB"/>
    <w:rsid w:val="00920F1D"/>
    <w:rsid w:val="00921148"/>
    <w:rsid w:val="009212A4"/>
    <w:rsid w:val="00921672"/>
    <w:rsid w:val="00921746"/>
    <w:rsid w:val="0092190D"/>
    <w:rsid w:val="00921A10"/>
    <w:rsid w:val="00921CCD"/>
    <w:rsid w:val="00922461"/>
    <w:rsid w:val="00922B03"/>
    <w:rsid w:val="00923A49"/>
    <w:rsid w:val="00923B4A"/>
    <w:rsid w:val="00924479"/>
    <w:rsid w:val="009255E7"/>
    <w:rsid w:val="00925EA4"/>
    <w:rsid w:val="00926816"/>
    <w:rsid w:val="00926843"/>
    <w:rsid w:val="0092696B"/>
    <w:rsid w:val="00926BBE"/>
    <w:rsid w:val="00926C80"/>
    <w:rsid w:val="00927E56"/>
    <w:rsid w:val="00930987"/>
    <w:rsid w:val="00930CDB"/>
    <w:rsid w:val="009317BB"/>
    <w:rsid w:val="009336E1"/>
    <w:rsid w:val="00933F98"/>
    <w:rsid w:val="00934AFB"/>
    <w:rsid w:val="00935DA7"/>
    <w:rsid w:val="009408AB"/>
    <w:rsid w:val="00940ED0"/>
    <w:rsid w:val="00941E2B"/>
    <w:rsid w:val="0094266C"/>
    <w:rsid w:val="00942A59"/>
    <w:rsid w:val="009431DC"/>
    <w:rsid w:val="00943539"/>
    <w:rsid w:val="00943AD3"/>
    <w:rsid w:val="0094434F"/>
    <w:rsid w:val="009462B6"/>
    <w:rsid w:val="0094674C"/>
    <w:rsid w:val="00947318"/>
    <w:rsid w:val="0095006B"/>
    <w:rsid w:val="00950217"/>
    <w:rsid w:val="00950A36"/>
    <w:rsid w:val="009516D0"/>
    <w:rsid w:val="00952712"/>
    <w:rsid w:val="00952CE2"/>
    <w:rsid w:val="009566B9"/>
    <w:rsid w:val="00956D10"/>
    <w:rsid w:val="00957C7E"/>
    <w:rsid w:val="009600EB"/>
    <w:rsid w:val="00960293"/>
    <w:rsid w:val="009605F0"/>
    <w:rsid w:val="00960F7A"/>
    <w:rsid w:val="009616B6"/>
    <w:rsid w:val="009620D3"/>
    <w:rsid w:val="0096282B"/>
    <w:rsid w:val="00963607"/>
    <w:rsid w:val="00963912"/>
    <w:rsid w:val="0096397F"/>
    <w:rsid w:val="00965DDD"/>
    <w:rsid w:val="00966A30"/>
    <w:rsid w:val="00966EEB"/>
    <w:rsid w:val="009679E2"/>
    <w:rsid w:val="00970688"/>
    <w:rsid w:val="00970C41"/>
    <w:rsid w:val="009711AA"/>
    <w:rsid w:val="00972AD6"/>
    <w:rsid w:val="009748D2"/>
    <w:rsid w:val="009752F9"/>
    <w:rsid w:val="00976082"/>
    <w:rsid w:val="009777AB"/>
    <w:rsid w:val="00977999"/>
    <w:rsid w:val="00977D02"/>
    <w:rsid w:val="0098281E"/>
    <w:rsid w:val="00982EBD"/>
    <w:rsid w:val="00983F31"/>
    <w:rsid w:val="0098487E"/>
    <w:rsid w:val="009861B4"/>
    <w:rsid w:val="0098667D"/>
    <w:rsid w:val="009867B6"/>
    <w:rsid w:val="00986E12"/>
    <w:rsid w:val="00987BD3"/>
    <w:rsid w:val="00990184"/>
    <w:rsid w:val="00990833"/>
    <w:rsid w:val="009908D3"/>
    <w:rsid w:val="009908D8"/>
    <w:rsid w:val="00990A52"/>
    <w:rsid w:val="009940AB"/>
    <w:rsid w:val="00995833"/>
    <w:rsid w:val="00995BF6"/>
    <w:rsid w:val="00995F96"/>
    <w:rsid w:val="00996F67"/>
    <w:rsid w:val="00997A22"/>
    <w:rsid w:val="009A07D9"/>
    <w:rsid w:val="009A0828"/>
    <w:rsid w:val="009A1EC5"/>
    <w:rsid w:val="009A21BD"/>
    <w:rsid w:val="009A2C57"/>
    <w:rsid w:val="009A5183"/>
    <w:rsid w:val="009A6C70"/>
    <w:rsid w:val="009A7E62"/>
    <w:rsid w:val="009B0511"/>
    <w:rsid w:val="009B06CF"/>
    <w:rsid w:val="009B1EFA"/>
    <w:rsid w:val="009B30C5"/>
    <w:rsid w:val="009B4232"/>
    <w:rsid w:val="009B4384"/>
    <w:rsid w:val="009B4494"/>
    <w:rsid w:val="009B520E"/>
    <w:rsid w:val="009B5276"/>
    <w:rsid w:val="009B55EF"/>
    <w:rsid w:val="009B5EEB"/>
    <w:rsid w:val="009B6609"/>
    <w:rsid w:val="009C099E"/>
    <w:rsid w:val="009C0EE4"/>
    <w:rsid w:val="009C0F8C"/>
    <w:rsid w:val="009C15E5"/>
    <w:rsid w:val="009C23EC"/>
    <w:rsid w:val="009C2807"/>
    <w:rsid w:val="009C2873"/>
    <w:rsid w:val="009C31AB"/>
    <w:rsid w:val="009C3553"/>
    <w:rsid w:val="009C3931"/>
    <w:rsid w:val="009C3DA5"/>
    <w:rsid w:val="009C3EAD"/>
    <w:rsid w:val="009D02C4"/>
    <w:rsid w:val="009D0B7F"/>
    <w:rsid w:val="009D22CF"/>
    <w:rsid w:val="009D6425"/>
    <w:rsid w:val="009D68D0"/>
    <w:rsid w:val="009D6A17"/>
    <w:rsid w:val="009D6B48"/>
    <w:rsid w:val="009D6E33"/>
    <w:rsid w:val="009D761C"/>
    <w:rsid w:val="009E04A7"/>
    <w:rsid w:val="009E06F1"/>
    <w:rsid w:val="009E0A2E"/>
    <w:rsid w:val="009E284F"/>
    <w:rsid w:val="009E42D0"/>
    <w:rsid w:val="009E446E"/>
    <w:rsid w:val="009E4C28"/>
    <w:rsid w:val="009E6443"/>
    <w:rsid w:val="009E7552"/>
    <w:rsid w:val="009F063C"/>
    <w:rsid w:val="009F192A"/>
    <w:rsid w:val="009F1BCE"/>
    <w:rsid w:val="009F1CCC"/>
    <w:rsid w:val="009F2E77"/>
    <w:rsid w:val="009F2F88"/>
    <w:rsid w:val="009F314C"/>
    <w:rsid w:val="009F3273"/>
    <w:rsid w:val="009F3906"/>
    <w:rsid w:val="009F4401"/>
    <w:rsid w:val="009F455C"/>
    <w:rsid w:val="009F511A"/>
    <w:rsid w:val="009F5487"/>
    <w:rsid w:val="009F6105"/>
    <w:rsid w:val="009F62B3"/>
    <w:rsid w:val="009F7B5E"/>
    <w:rsid w:val="00A0079B"/>
    <w:rsid w:val="00A00DE6"/>
    <w:rsid w:val="00A013B4"/>
    <w:rsid w:val="00A017BB"/>
    <w:rsid w:val="00A025D4"/>
    <w:rsid w:val="00A028DA"/>
    <w:rsid w:val="00A03BD6"/>
    <w:rsid w:val="00A04039"/>
    <w:rsid w:val="00A0412A"/>
    <w:rsid w:val="00A06804"/>
    <w:rsid w:val="00A06988"/>
    <w:rsid w:val="00A06AEB"/>
    <w:rsid w:val="00A07EDD"/>
    <w:rsid w:val="00A103EE"/>
    <w:rsid w:val="00A11DD9"/>
    <w:rsid w:val="00A11E11"/>
    <w:rsid w:val="00A13504"/>
    <w:rsid w:val="00A1673D"/>
    <w:rsid w:val="00A16CAD"/>
    <w:rsid w:val="00A204A3"/>
    <w:rsid w:val="00A20EF3"/>
    <w:rsid w:val="00A22DBD"/>
    <w:rsid w:val="00A23EAA"/>
    <w:rsid w:val="00A254B7"/>
    <w:rsid w:val="00A255A6"/>
    <w:rsid w:val="00A26405"/>
    <w:rsid w:val="00A279BA"/>
    <w:rsid w:val="00A30537"/>
    <w:rsid w:val="00A308D7"/>
    <w:rsid w:val="00A30C66"/>
    <w:rsid w:val="00A31FF2"/>
    <w:rsid w:val="00A32B0D"/>
    <w:rsid w:val="00A336E0"/>
    <w:rsid w:val="00A34686"/>
    <w:rsid w:val="00A348C4"/>
    <w:rsid w:val="00A35570"/>
    <w:rsid w:val="00A355BE"/>
    <w:rsid w:val="00A36738"/>
    <w:rsid w:val="00A374AD"/>
    <w:rsid w:val="00A41685"/>
    <w:rsid w:val="00A422BE"/>
    <w:rsid w:val="00A426FE"/>
    <w:rsid w:val="00A43299"/>
    <w:rsid w:val="00A44FB4"/>
    <w:rsid w:val="00A453BA"/>
    <w:rsid w:val="00A45425"/>
    <w:rsid w:val="00A47920"/>
    <w:rsid w:val="00A50CB1"/>
    <w:rsid w:val="00A50CDD"/>
    <w:rsid w:val="00A51174"/>
    <w:rsid w:val="00A512F0"/>
    <w:rsid w:val="00A5147D"/>
    <w:rsid w:val="00A51501"/>
    <w:rsid w:val="00A522C6"/>
    <w:rsid w:val="00A529AA"/>
    <w:rsid w:val="00A53F10"/>
    <w:rsid w:val="00A54B3E"/>
    <w:rsid w:val="00A5522B"/>
    <w:rsid w:val="00A553C0"/>
    <w:rsid w:val="00A55FA4"/>
    <w:rsid w:val="00A56594"/>
    <w:rsid w:val="00A57161"/>
    <w:rsid w:val="00A5730E"/>
    <w:rsid w:val="00A57C37"/>
    <w:rsid w:val="00A600B0"/>
    <w:rsid w:val="00A6016A"/>
    <w:rsid w:val="00A603F8"/>
    <w:rsid w:val="00A607A8"/>
    <w:rsid w:val="00A61823"/>
    <w:rsid w:val="00A6240A"/>
    <w:rsid w:val="00A624F6"/>
    <w:rsid w:val="00A62E83"/>
    <w:rsid w:val="00A6325D"/>
    <w:rsid w:val="00A636E7"/>
    <w:rsid w:val="00A637CB"/>
    <w:rsid w:val="00A63F1D"/>
    <w:rsid w:val="00A64A87"/>
    <w:rsid w:val="00A65696"/>
    <w:rsid w:val="00A67A71"/>
    <w:rsid w:val="00A67F70"/>
    <w:rsid w:val="00A70B10"/>
    <w:rsid w:val="00A70C30"/>
    <w:rsid w:val="00A71063"/>
    <w:rsid w:val="00A719E0"/>
    <w:rsid w:val="00A72C77"/>
    <w:rsid w:val="00A72CAD"/>
    <w:rsid w:val="00A7590A"/>
    <w:rsid w:val="00A767F0"/>
    <w:rsid w:val="00A76EF7"/>
    <w:rsid w:val="00A77D08"/>
    <w:rsid w:val="00A8067A"/>
    <w:rsid w:val="00A80E63"/>
    <w:rsid w:val="00A80EA5"/>
    <w:rsid w:val="00A81106"/>
    <w:rsid w:val="00A823F5"/>
    <w:rsid w:val="00A82A07"/>
    <w:rsid w:val="00A82A66"/>
    <w:rsid w:val="00A87129"/>
    <w:rsid w:val="00A87238"/>
    <w:rsid w:val="00A87365"/>
    <w:rsid w:val="00A87742"/>
    <w:rsid w:val="00A9064F"/>
    <w:rsid w:val="00A9130C"/>
    <w:rsid w:val="00A92C2B"/>
    <w:rsid w:val="00A92D3C"/>
    <w:rsid w:val="00A93020"/>
    <w:rsid w:val="00A94154"/>
    <w:rsid w:val="00A942A5"/>
    <w:rsid w:val="00A943B4"/>
    <w:rsid w:val="00A94539"/>
    <w:rsid w:val="00A94E64"/>
    <w:rsid w:val="00A94EBC"/>
    <w:rsid w:val="00A96770"/>
    <w:rsid w:val="00A97D5A"/>
    <w:rsid w:val="00A97FC5"/>
    <w:rsid w:val="00AA01D1"/>
    <w:rsid w:val="00AA0906"/>
    <w:rsid w:val="00AA2C95"/>
    <w:rsid w:val="00AA3CE1"/>
    <w:rsid w:val="00AA63D8"/>
    <w:rsid w:val="00AA6958"/>
    <w:rsid w:val="00AA6EE6"/>
    <w:rsid w:val="00AA7753"/>
    <w:rsid w:val="00AB20A3"/>
    <w:rsid w:val="00AB28E8"/>
    <w:rsid w:val="00AB2DB0"/>
    <w:rsid w:val="00AB4285"/>
    <w:rsid w:val="00AB428F"/>
    <w:rsid w:val="00AB5C98"/>
    <w:rsid w:val="00AB61F4"/>
    <w:rsid w:val="00AB767D"/>
    <w:rsid w:val="00AB7E18"/>
    <w:rsid w:val="00AC013E"/>
    <w:rsid w:val="00AC1888"/>
    <w:rsid w:val="00AC1EF3"/>
    <w:rsid w:val="00AC251D"/>
    <w:rsid w:val="00AC31A6"/>
    <w:rsid w:val="00AC36DC"/>
    <w:rsid w:val="00AC4132"/>
    <w:rsid w:val="00AC43C7"/>
    <w:rsid w:val="00AC58E3"/>
    <w:rsid w:val="00AC73A3"/>
    <w:rsid w:val="00AD0298"/>
    <w:rsid w:val="00AD0505"/>
    <w:rsid w:val="00AD07D1"/>
    <w:rsid w:val="00AD1A3E"/>
    <w:rsid w:val="00AD1D46"/>
    <w:rsid w:val="00AD212A"/>
    <w:rsid w:val="00AD310A"/>
    <w:rsid w:val="00AD4E00"/>
    <w:rsid w:val="00AD4FA3"/>
    <w:rsid w:val="00AD5B1F"/>
    <w:rsid w:val="00AD73F6"/>
    <w:rsid w:val="00AE0016"/>
    <w:rsid w:val="00AE0F18"/>
    <w:rsid w:val="00AE2080"/>
    <w:rsid w:val="00AE242A"/>
    <w:rsid w:val="00AE2CD5"/>
    <w:rsid w:val="00AE530A"/>
    <w:rsid w:val="00AE546B"/>
    <w:rsid w:val="00AE55C3"/>
    <w:rsid w:val="00AE6969"/>
    <w:rsid w:val="00AE7C0C"/>
    <w:rsid w:val="00AF039F"/>
    <w:rsid w:val="00AF30DC"/>
    <w:rsid w:val="00AF46D5"/>
    <w:rsid w:val="00AF5FA9"/>
    <w:rsid w:val="00AF5FD2"/>
    <w:rsid w:val="00AF698F"/>
    <w:rsid w:val="00AF726D"/>
    <w:rsid w:val="00AF79C4"/>
    <w:rsid w:val="00B00104"/>
    <w:rsid w:val="00B00267"/>
    <w:rsid w:val="00B00F65"/>
    <w:rsid w:val="00B029FF"/>
    <w:rsid w:val="00B0408B"/>
    <w:rsid w:val="00B04497"/>
    <w:rsid w:val="00B049E1"/>
    <w:rsid w:val="00B05490"/>
    <w:rsid w:val="00B05A01"/>
    <w:rsid w:val="00B0617A"/>
    <w:rsid w:val="00B072F4"/>
    <w:rsid w:val="00B07634"/>
    <w:rsid w:val="00B10823"/>
    <w:rsid w:val="00B1144D"/>
    <w:rsid w:val="00B11559"/>
    <w:rsid w:val="00B11A6D"/>
    <w:rsid w:val="00B11F7C"/>
    <w:rsid w:val="00B12F99"/>
    <w:rsid w:val="00B13059"/>
    <w:rsid w:val="00B136D1"/>
    <w:rsid w:val="00B13E3F"/>
    <w:rsid w:val="00B14B61"/>
    <w:rsid w:val="00B15AF8"/>
    <w:rsid w:val="00B16E0A"/>
    <w:rsid w:val="00B22136"/>
    <w:rsid w:val="00B22C0D"/>
    <w:rsid w:val="00B23905"/>
    <w:rsid w:val="00B23B50"/>
    <w:rsid w:val="00B24339"/>
    <w:rsid w:val="00B24812"/>
    <w:rsid w:val="00B24895"/>
    <w:rsid w:val="00B2539F"/>
    <w:rsid w:val="00B26D2C"/>
    <w:rsid w:val="00B27A50"/>
    <w:rsid w:val="00B32AF3"/>
    <w:rsid w:val="00B32F4A"/>
    <w:rsid w:val="00B3302C"/>
    <w:rsid w:val="00B34619"/>
    <w:rsid w:val="00B347A6"/>
    <w:rsid w:val="00B34C54"/>
    <w:rsid w:val="00B35009"/>
    <w:rsid w:val="00B35BCC"/>
    <w:rsid w:val="00B364EE"/>
    <w:rsid w:val="00B36D11"/>
    <w:rsid w:val="00B40EA3"/>
    <w:rsid w:val="00B41EEB"/>
    <w:rsid w:val="00B42E44"/>
    <w:rsid w:val="00B4318D"/>
    <w:rsid w:val="00B434C8"/>
    <w:rsid w:val="00B43F5A"/>
    <w:rsid w:val="00B442E9"/>
    <w:rsid w:val="00B44490"/>
    <w:rsid w:val="00B44558"/>
    <w:rsid w:val="00B447BF"/>
    <w:rsid w:val="00B44A68"/>
    <w:rsid w:val="00B4575B"/>
    <w:rsid w:val="00B45CC7"/>
    <w:rsid w:val="00B46078"/>
    <w:rsid w:val="00B46B5D"/>
    <w:rsid w:val="00B46C6F"/>
    <w:rsid w:val="00B47455"/>
    <w:rsid w:val="00B475D5"/>
    <w:rsid w:val="00B50B58"/>
    <w:rsid w:val="00B50C19"/>
    <w:rsid w:val="00B5101B"/>
    <w:rsid w:val="00B51543"/>
    <w:rsid w:val="00B527E0"/>
    <w:rsid w:val="00B539F2"/>
    <w:rsid w:val="00B557C4"/>
    <w:rsid w:val="00B56154"/>
    <w:rsid w:val="00B572B8"/>
    <w:rsid w:val="00B602ED"/>
    <w:rsid w:val="00B608EE"/>
    <w:rsid w:val="00B60AEB"/>
    <w:rsid w:val="00B60D46"/>
    <w:rsid w:val="00B60E74"/>
    <w:rsid w:val="00B626BA"/>
    <w:rsid w:val="00B62EB7"/>
    <w:rsid w:val="00B6310D"/>
    <w:rsid w:val="00B63783"/>
    <w:rsid w:val="00B63AE4"/>
    <w:rsid w:val="00B659C4"/>
    <w:rsid w:val="00B65C21"/>
    <w:rsid w:val="00B65EAB"/>
    <w:rsid w:val="00B67FFB"/>
    <w:rsid w:val="00B7051E"/>
    <w:rsid w:val="00B7073D"/>
    <w:rsid w:val="00B7105F"/>
    <w:rsid w:val="00B71962"/>
    <w:rsid w:val="00B71ABD"/>
    <w:rsid w:val="00B731D4"/>
    <w:rsid w:val="00B73343"/>
    <w:rsid w:val="00B7336B"/>
    <w:rsid w:val="00B74E24"/>
    <w:rsid w:val="00B74FDE"/>
    <w:rsid w:val="00B7614E"/>
    <w:rsid w:val="00B7754B"/>
    <w:rsid w:val="00B81916"/>
    <w:rsid w:val="00B81E50"/>
    <w:rsid w:val="00B83094"/>
    <w:rsid w:val="00B83B11"/>
    <w:rsid w:val="00B83BED"/>
    <w:rsid w:val="00B84172"/>
    <w:rsid w:val="00B843CF"/>
    <w:rsid w:val="00B85126"/>
    <w:rsid w:val="00B85195"/>
    <w:rsid w:val="00B8559E"/>
    <w:rsid w:val="00B8651B"/>
    <w:rsid w:val="00B86771"/>
    <w:rsid w:val="00B86A0F"/>
    <w:rsid w:val="00B86F92"/>
    <w:rsid w:val="00B87574"/>
    <w:rsid w:val="00B87F8F"/>
    <w:rsid w:val="00B90313"/>
    <w:rsid w:val="00B911F7"/>
    <w:rsid w:val="00B91B5F"/>
    <w:rsid w:val="00B91C80"/>
    <w:rsid w:val="00B9366B"/>
    <w:rsid w:val="00B93F2A"/>
    <w:rsid w:val="00B941A8"/>
    <w:rsid w:val="00B94C54"/>
    <w:rsid w:val="00B94EB5"/>
    <w:rsid w:val="00B97EE2"/>
    <w:rsid w:val="00BA02EA"/>
    <w:rsid w:val="00BA14CA"/>
    <w:rsid w:val="00BA252C"/>
    <w:rsid w:val="00BA2D25"/>
    <w:rsid w:val="00BA4DF1"/>
    <w:rsid w:val="00BA4E91"/>
    <w:rsid w:val="00BA5D88"/>
    <w:rsid w:val="00BA6C04"/>
    <w:rsid w:val="00BA6E2F"/>
    <w:rsid w:val="00BA7346"/>
    <w:rsid w:val="00BA775D"/>
    <w:rsid w:val="00BB13B9"/>
    <w:rsid w:val="00BB1685"/>
    <w:rsid w:val="00BB1801"/>
    <w:rsid w:val="00BB334F"/>
    <w:rsid w:val="00BB46E6"/>
    <w:rsid w:val="00BB529C"/>
    <w:rsid w:val="00BB6AB2"/>
    <w:rsid w:val="00BB7F07"/>
    <w:rsid w:val="00BC091F"/>
    <w:rsid w:val="00BC130A"/>
    <w:rsid w:val="00BC1532"/>
    <w:rsid w:val="00BC351F"/>
    <w:rsid w:val="00BC3B33"/>
    <w:rsid w:val="00BC444E"/>
    <w:rsid w:val="00BC458F"/>
    <w:rsid w:val="00BC62AE"/>
    <w:rsid w:val="00BC62F2"/>
    <w:rsid w:val="00BC6DC2"/>
    <w:rsid w:val="00BD03EF"/>
    <w:rsid w:val="00BD08EE"/>
    <w:rsid w:val="00BD1260"/>
    <w:rsid w:val="00BD1894"/>
    <w:rsid w:val="00BD1C69"/>
    <w:rsid w:val="00BD21BE"/>
    <w:rsid w:val="00BD3C8E"/>
    <w:rsid w:val="00BD4696"/>
    <w:rsid w:val="00BD61B9"/>
    <w:rsid w:val="00BD69E4"/>
    <w:rsid w:val="00BD7B1C"/>
    <w:rsid w:val="00BE2D83"/>
    <w:rsid w:val="00BE49AD"/>
    <w:rsid w:val="00BE4D9E"/>
    <w:rsid w:val="00BE599F"/>
    <w:rsid w:val="00BE61F1"/>
    <w:rsid w:val="00BE649D"/>
    <w:rsid w:val="00BE70C6"/>
    <w:rsid w:val="00BE7578"/>
    <w:rsid w:val="00BE7D58"/>
    <w:rsid w:val="00BF0BAB"/>
    <w:rsid w:val="00BF2C4B"/>
    <w:rsid w:val="00BF2F6D"/>
    <w:rsid w:val="00BF39A6"/>
    <w:rsid w:val="00BF3F9A"/>
    <w:rsid w:val="00BF4437"/>
    <w:rsid w:val="00BF4C5A"/>
    <w:rsid w:val="00BF4EDB"/>
    <w:rsid w:val="00BF50C8"/>
    <w:rsid w:val="00BF554C"/>
    <w:rsid w:val="00BF71ED"/>
    <w:rsid w:val="00BF74D6"/>
    <w:rsid w:val="00BF7972"/>
    <w:rsid w:val="00C01F72"/>
    <w:rsid w:val="00C02744"/>
    <w:rsid w:val="00C02C74"/>
    <w:rsid w:val="00C03DF3"/>
    <w:rsid w:val="00C04C6D"/>
    <w:rsid w:val="00C05962"/>
    <w:rsid w:val="00C06D89"/>
    <w:rsid w:val="00C0771B"/>
    <w:rsid w:val="00C07834"/>
    <w:rsid w:val="00C107BF"/>
    <w:rsid w:val="00C10E74"/>
    <w:rsid w:val="00C10F64"/>
    <w:rsid w:val="00C1103F"/>
    <w:rsid w:val="00C11348"/>
    <w:rsid w:val="00C11B31"/>
    <w:rsid w:val="00C1468E"/>
    <w:rsid w:val="00C1489A"/>
    <w:rsid w:val="00C15D8B"/>
    <w:rsid w:val="00C168B7"/>
    <w:rsid w:val="00C16E71"/>
    <w:rsid w:val="00C175D2"/>
    <w:rsid w:val="00C17A88"/>
    <w:rsid w:val="00C2057B"/>
    <w:rsid w:val="00C21851"/>
    <w:rsid w:val="00C22E2C"/>
    <w:rsid w:val="00C22F46"/>
    <w:rsid w:val="00C255B8"/>
    <w:rsid w:val="00C25746"/>
    <w:rsid w:val="00C25BB7"/>
    <w:rsid w:val="00C25CA4"/>
    <w:rsid w:val="00C25D83"/>
    <w:rsid w:val="00C27549"/>
    <w:rsid w:val="00C30981"/>
    <w:rsid w:val="00C30DBD"/>
    <w:rsid w:val="00C311FA"/>
    <w:rsid w:val="00C322D0"/>
    <w:rsid w:val="00C32B4C"/>
    <w:rsid w:val="00C33200"/>
    <w:rsid w:val="00C33746"/>
    <w:rsid w:val="00C33859"/>
    <w:rsid w:val="00C34A35"/>
    <w:rsid w:val="00C354C8"/>
    <w:rsid w:val="00C356C2"/>
    <w:rsid w:val="00C35829"/>
    <w:rsid w:val="00C36070"/>
    <w:rsid w:val="00C361A2"/>
    <w:rsid w:val="00C36D75"/>
    <w:rsid w:val="00C373CB"/>
    <w:rsid w:val="00C379C8"/>
    <w:rsid w:val="00C40252"/>
    <w:rsid w:val="00C4097C"/>
    <w:rsid w:val="00C41715"/>
    <w:rsid w:val="00C41E39"/>
    <w:rsid w:val="00C41FBC"/>
    <w:rsid w:val="00C42A34"/>
    <w:rsid w:val="00C42C19"/>
    <w:rsid w:val="00C44116"/>
    <w:rsid w:val="00C4466F"/>
    <w:rsid w:val="00C44BD4"/>
    <w:rsid w:val="00C45F0C"/>
    <w:rsid w:val="00C46066"/>
    <w:rsid w:val="00C4627A"/>
    <w:rsid w:val="00C464B7"/>
    <w:rsid w:val="00C469D0"/>
    <w:rsid w:val="00C46BD8"/>
    <w:rsid w:val="00C4723F"/>
    <w:rsid w:val="00C47FE5"/>
    <w:rsid w:val="00C515E8"/>
    <w:rsid w:val="00C52016"/>
    <w:rsid w:val="00C525EE"/>
    <w:rsid w:val="00C5451A"/>
    <w:rsid w:val="00C55AC5"/>
    <w:rsid w:val="00C562E0"/>
    <w:rsid w:val="00C56C4E"/>
    <w:rsid w:val="00C56DAA"/>
    <w:rsid w:val="00C61177"/>
    <w:rsid w:val="00C617C6"/>
    <w:rsid w:val="00C62BC1"/>
    <w:rsid w:val="00C6307A"/>
    <w:rsid w:val="00C639FC"/>
    <w:rsid w:val="00C6618D"/>
    <w:rsid w:val="00C6681E"/>
    <w:rsid w:val="00C66AE8"/>
    <w:rsid w:val="00C71CBB"/>
    <w:rsid w:val="00C71E0B"/>
    <w:rsid w:val="00C7241D"/>
    <w:rsid w:val="00C75667"/>
    <w:rsid w:val="00C75DE2"/>
    <w:rsid w:val="00C75DE8"/>
    <w:rsid w:val="00C80744"/>
    <w:rsid w:val="00C80EFB"/>
    <w:rsid w:val="00C819CB"/>
    <w:rsid w:val="00C821D4"/>
    <w:rsid w:val="00C82871"/>
    <w:rsid w:val="00C83093"/>
    <w:rsid w:val="00C833E0"/>
    <w:rsid w:val="00C83F48"/>
    <w:rsid w:val="00C840E8"/>
    <w:rsid w:val="00C86A24"/>
    <w:rsid w:val="00C872C5"/>
    <w:rsid w:val="00C8779A"/>
    <w:rsid w:val="00C9001E"/>
    <w:rsid w:val="00C90530"/>
    <w:rsid w:val="00C914B4"/>
    <w:rsid w:val="00C92D8E"/>
    <w:rsid w:val="00C94817"/>
    <w:rsid w:val="00C957B0"/>
    <w:rsid w:val="00C959E3"/>
    <w:rsid w:val="00C95E97"/>
    <w:rsid w:val="00C9621F"/>
    <w:rsid w:val="00C965D7"/>
    <w:rsid w:val="00C9688A"/>
    <w:rsid w:val="00CA04EF"/>
    <w:rsid w:val="00CA1B55"/>
    <w:rsid w:val="00CA1F14"/>
    <w:rsid w:val="00CA21CB"/>
    <w:rsid w:val="00CA2A3D"/>
    <w:rsid w:val="00CA2D87"/>
    <w:rsid w:val="00CA3694"/>
    <w:rsid w:val="00CA49BA"/>
    <w:rsid w:val="00CA4C9C"/>
    <w:rsid w:val="00CA51C7"/>
    <w:rsid w:val="00CA53CE"/>
    <w:rsid w:val="00CA56CF"/>
    <w:rsid w:val="00CB0C2F"/>
    <w:rsid w:val="00CB2EA9"/>
    <w:rsid w:val="00CB31D7"/>
    <w:rsid w:val="00CB4648"/>
    <w:rsid w:val="00CB4C81"/>
    <w:rsid w:val="00CB5CF4"/>
    <w:rsid w:val="00CB7481"/>
    <w:rsid w:val="00CB761C"/>
    <w:rsid w:val="00CC039D"/>
    <w:rsid w:val="00CC0E48"/>
    <w:rsid w:val="00CC0EA2"/>
    <w:rsid w:val="00CC234A"/>
    <w:rsid w:val="00CC4382"/>
    <w:rsid w:val="00CC468C"/>
    <w:rsid w:val="00CC69F7"/>
    <w:rsid w:val="00CC7848"/>
    <w:rsid w:val="00CC7B3C"/>
    <w:rsid w:val="00CC7E56"/>
    <w:rsid w:val="00CC7F8D"/>
    <w:rsid w:val="00CD05AD"/>
    <w:rsid w:val="00CD0967"/>
    <w:rsid w:val="00CD1341"/>
    <w:rsid w:val="00CD42C5"/>
    <w:rsid w:val="00CD49D0"/>
    <w:rsid w:val="00CD4BCE"/>
    <w:rsid w:val="00CD4D85"/>
    <w:rsid w:val="00CD576B"/>
    <w:rsid w:val="00CD58ED"/>
    <w:rsid w:val="00CD5BBA"/>
    <w:rsid w:val="00CD6868"/>
    <w:rsid w:val="00CD6A60"/>
    <w:rsid w:val="00CD6E9B"/>
    <w:rsid w:val="00CD703A"/>
    <w:rsid w:val="00CE198C"/>
    <w:rsid w:val="00CE1CCC"/>
    <w:rsid w:val="00CE29B1"/>
    <w:rsid w:val="00CE2D53"/>
    <w:rsid w:val="00CE48D9"/>
    <w:rsid w:val="00CE5787"/>
    <w:rsid w:val="00CE5912"/>
    <w:rsid w:val="00CE5B8D"/>
    <w:rsid w:val="00CE5D6E"/>
    <w:rsid w:val="00CE6832"/>
    <w:rsid w:val="00CF00B9"/>
    <w:rsid w:val="00CF08FD"/>
    <w:rsid w:val="00CF0A9E"/>
    <w:rsid w:val="00CF0FC1"/>
    <w:rsid w:val="00CF1F6C"/>
    <w:rsid w:val="00CF205C"/>
    <w:rsid w:val="00CF2B46"/>
    <w:rsid w:val="00CF2E11"/>
    <w:rsid w:val="00CF402E"/>
    <w:rsid w:val="00CF5254"/>
    <w:rsid w:val="00CF7519"/>
    <w:rsid w:val="00D0014A"/>
    <w:rsid w:val="00D00900"/>
    <w:rsid w:val="00D02015"/>
    <w:rsid w:val="00D02AF9"/>
    <w:rsid w:val="00D03750"/>
    <w:rsid w:val="00D03B83"/>
    <w:rsid w:val="00D03EA1"/>
    <w:rsid w:val="00D03F6F"/>
    <w:rsid w:val="00D0480C"/>
    <w:rsid w:val="00D04A58"/>
    <w:rsid w:val="00D06C76"/>
    <w:rsid w:val="00D06D3A"/>
    <w:rsid w:val="00D06E34"/>
    <w:rsid w:val="00D07015"/>
    <w:rsid w:val="00D07C29"/>
    <w:rsid w:val="00D105EF"/>
    <w:rsid w:val="00D11D2A"/>
    <w:rsid w:val="00D1240C"/>
    <w:rsid w:val="00D12596"/>
    <w:rsid w:val="00D12655"/>
    <w:rsid w:val="00D126E7"/>
    <w:rsid w:val="00D146B8"/>
    <w:rsid w:val="00D14919"/>
    <w:rsid w:val="00D149B9"/>
    <w:rsid w:val="00D14DB2"/>
    <w:rsid w:val="00D16CB7"/>
    <w:rsid w:val="00D17C2D"/>
    <w:rsid w:val="00D17C6A"/>
    <w:rsid w:val="00D21010"/>
    <w:rsid w:val="00D22529"/>
    <w:rsid w:val="00D2298F"/>
    <w:rsid w:val="00D2355B"/>
    <w:rsid w:val="00D23602"/>
    <w:rsid w:val="00D23762"/>
    <w:rsid w:val="00D252CD"/>
    <w:rsid w:val="00D257AA"/>
    <w:rsid w:val="00D260CD"/>
    <w:rsid w:val="00D26D35"/>
    <w:rsid w:val="00D27808"/>
    <w:rsid w:val="00D30B9F"/>
    <w:rsid w:val="00D318B7"/>
    <w:rsid w:val="00D31D7B"/>
    <w:rsid w:val="00D32BCD"/>
    <w:rsid w:val="00D34B1D"/>
    <w:rsid w:val="00D3602D"/>
    <w:rsid w:val="00D36594"/>
    <w:rsid w:val="00D40308"/>
    <w:rsid w:val="00D40423"/>
    <w:rsid w:val="00D40A9B"/>
    <w:rsid w:val="00D41766"/>
    <w:rsid w:val="00D421CE"/>
    <w:rsid w:val="00D427E8"/>
    <w:rsid w:val="00D43A4E"/>
    <w:rsid w:val="00D43AF7"/>
    <w:rsid w:val="00D43D05"/>
    <w:rsid w:val="00D43FBE"/>
    <w:rsid w:val="00D451E2"/>
    <w:rsid w:val="00D45E9C"/>
    <w:rsid w:val="00D50FC5"/>
    <w:rsid w:val="00D53CCA"/>
    <w:rsid w:val="00D54C84"/>
    <w:rsid w:val="00D54F3D"/>
    <w:rsid w:val="00D55990"/>
    <w:rsid w:val="00D55E7E"/>
    <w:rsid w:val="00D5667E"/>
    <w:rsid w:val="00D56C8B"/>
    <w:rsid w:val="00D62423"/>
    <w:rsid w:val="00D62796"/>
    <w:rsid w:val="00D629A8"/>
    <w:rsid w:val="00D63175"/>
    <w:rsid w:val="00D631B6"/>
    <w:rsid w:val="00D63F63"/>
    <w:rsid w:val="00D64318"/>
    <w:rsid w:val="00D64332"/>
    <w:rsid w:val="00D7050C"/>
    <w:rsid w:val="00D70BC8"/>
    <w:rsid w:val="00D7183B"/>
    <w:rsid w:val="00D757FD"/>
    <w:rsid w:val="00D75C26"/>
    <w:rsid w:val="00D76300"/>
    <w:rsid w:val="00D76736"/>
    <w:rsid w:val="00D76754"/>
    <w:rsid w:val="00D76983"/>
    <w:rsid w:val="00D77139"/>
    <w:rsid w:val="00D80023"/>
    <w:rsid w:val="00D83D0A"/>
    <w:rsid w:val="00D841D3"/>
    <w:rsid w:val="00D861B6"/>
    <w:rsid w:val="00D866B6"/>
    <w:rsid w:val="00D86D94"/>
    <w:rsid w:val="00D86E36"/>
    <w:rsid w:val="00D87147"/>
    <w:rsid w:val="00D879ED"/>
    <w:rsid w:val="00D90092"/>
    <w:rsid w:val="00D90E1F"/>
    <w:rsid w:val="00D911C6"/>
    <w:rsid w:val="00D93578"/>
    <w:rsid w:val="00D93AA8"/>
    <w:rsid w:val="00D947C3"/>
    <w:rsid w:val="00D9536F"/>
    <w:rsid w:val="00D95D08"/>
    <w:rsid w:val="00D96A24"/>
    <w:rsid w:val="00DA1082"/>
    <w:rsid w:val="00DA14D8"/>
    <w:rsid w:val="00DA26CC"/>
    <w:rsid w:val="00DA2B58"/>
    <w:rsid w:val="00DA4354"/>
    <w:rsid w:val="00DA79DE"/>
    <w:rsid w:val="00DA7C9A"/>
    <w:rsid w:val="00DB1FF2"/>
    <w:rsid w:val="00DB381D"/>
    <w:rsid w:val="00DB3E91"/>
    <w:rsid w:val="00DB432D"/>
    <w:rsid w:val="00DB673C"/>
    <w:rsid w:val="00DC25A7"/>
    <w:rsid w:val="00DC3287"/>
    <w:rsid w:val="00DC39E3"/>
    <w:rsid w:val="00DC5CDB"/>
    <w:rsid w:val="00DC71F5"/>
    <w:rsid w:val="00DC749A"/>
    <w:rsid w:val="00DD0862"/>
    <w:rsid w:val="00DD1EAA"/>
    <w:rsid w:val="00DD3A3B"/>
    <w:rsid w:val="00DD4BCC"/>
    <w:rsid w:val="00DD6C0F"/>
    <w:rsid w:val="00DD7275"/>
    <w:rsid w:val="00DD79A2"/>
    <w:rsid w:val="00DE2034"/>
    <w:rsid w:val="00DE2A05"/>
    <w:rsid w:val="00DE3578"/>
    <w:rsid w:val="00DE72A5"/>
    <w:rsid w:val="00DE7EDB"/>
    <w:rsid w:val="00DE7F45"/>
    <w:rsid w:val="00DF0019"/>
    <w:rsid w:val="00DF10A7"/>
    <w:rsid w:val="00DF1408"/>
    <w:rsid w:val="00DF18AE"/>
    <w:rsid w:val="00DF3390"/>
    <w:rsid w:val="00DF49E8"/>
    <w:rsid w:val="00DF5392"/>
    <w:rsid w:val="00DF6540"/>
    <w:rsid w:val="00DF7251"/>
    <w:rsid w:val="00E026B6"/>
    <w:rsid w:val="00E03EFC"/>
    <w:rsid w:val="00E0482D"/>
    <w:rsid w:val="00E0588D"/>
    <w:rsid w:val="00E06A4F"/>
    <w:rsid w:val="00E10511"/>
    <w:rsid w:val="00E13A28"/>
    <w:rsid w:val="00E14237"/>
    <w:rsid w:val="00E14341"/>
    <w:rsid w:val="00E14B44"/>
    <w:rsid w:val="00E16075"/>
    <w:rsid w:val="00E20858"/>
    <w:rsid w:val="00E2113F"/>
    <w:rsid w:val="00E2157A"/>
    <w:rsid w:val="00E217DE"/>
    <w:rsid w:val="00E21BB8"/>
    <w:rsid w:val="00E226B7"/>
    <w:rsid w:val="00E22D42"/>
    <w:rsid w:val="00E24FDE"/>
    <w:rsid w:val="00E252DC"/>
    <w:rsid w:val="00E2535E"/>
    <w:rsid w:val="00E26373"/>
    <w:rsid w:val="00E26EB3"/>
    <w:rsid w:val="00E270B6"/>
    <w:rsid w:val="00E271CF"/>
    <w:rsid w:val="00E301A6"/>
    <w:rsid w:val="00E30AA7"/>
    <w:rsid w:val="00E3129B"/>
    <w:rsid w:val="00E33419"/>
    <w:rsid w:val="00E34CEE"/>
    <w:rsid w:val="00E353FE"/>
    <w:rsid w:val="00E35A69"/>
    <w:rsid w:val="00E37365"/>
    <w:rsid w:val="00E37780"/>
    <w:rsid w:val="00E4012E"/>
    <w:rsid w:val="00E41A9E"/>
    <w:rsid w:val="00E41FE4"/>
    <w:rsid w:val="00E43630"/>
    <w:rsid w:val="00E439AC"/>
    <w:rsid w:val="00E44D5A"/>
    <w:rsid w:val="00E45A31"/>
    <w:rsid w:val="00E45FCD"/>
    <w:rsid w:val="00E46EEC"/>
    <w:rsid w:val="00E5170F"/>
    <w:rsid w:val="00E51A4B"/>
    <w:rsid w:val="00E51C94"/>
    <w:rsid w:val="00E521C4"/>
    <w:rsid w:val="00E52B44"/>
    <w:rsid w:val="00E5351C"/>
    <w:rsid w:val="00E5503A"/>
    <w:rsid w:val="00E57682"/>
    <w:rsid w:val="00E57C75"/>
    <w:rsid w:val="00E57C81"/>
    <w:rsid w:val="00E60BAE"/>
    <w:rsid w:val="00E60DCA"/>
    <w:rsid w:val="00E60F81"/>
    <w:rsid w:val="00E615DB"/>
    <w:rsid w:val="00E618E9"/>
    <w:rsid w:val="00E62B69"/>
    <w:rsid w:val="00E62BEC"/>
    <w:rsid w:val="00E65F75"/>
    <w:rsid w:val="00E66797"/>
    <w:rsid w:val="00E66896"/>
    <w:rsid w:val="00E66922"/>
    <w:rsid w:val="00E66C73"/>
    <w:rsid w:val="00E66DFF"/>
    <w:rsid w:val="00E67FF4"/>
    <w:rsid w:val="00E7043D"/>
    <w:rsid w:val="00E70722"/>
    <w:rsid w:val="00E7210B"/>
    <w:rsid w:val="00E730F1"/>
    <w:rsid w:val="00E75355"/>
    <w:rsid w:val="00E75C77"/>
    <w:rsid w:val="00E7685F"/>
    <w:rsid w:val="00E76958"/>
    <w:rsid w:val="00E76BB2"/>
    <w:rsid w:val="00E77211"/>
    <w:rsid w:val="00E775E9"/>
    <w:rsid w:val="00E814AD"/>
    <w:rsid w:val="00E83E30"/>
    <w:rsid w:val="00E84737"/>
    <w:rsid w:val="00E858AA"/>
    <w:rsid w:val="00E86BDF"/>
    <w:rsid w:val="00E8737D"/>
    <w:rsid w:val="00E906A6"/>
    <w:rsid w:val="00E90BAD"/>
    <w:rsid w:val="00E92021"/>
    <w:rsid w:val="00E924EC"/>
    <w:rsid w:val="00E926E2"/>
    <w:rsid w:val="00E92E3F"/>
    <w:rsid w:val="00E95495"/>
    <w:rsid w:val="00E96A37"/>
    <w:rsid w:val="00E96D64"/>
    <w:rsid w:val="00E96DF6"/>
    <w:rsid w:val="00E97FC8"/>
    <w:rsid w:val="00EA0F69"/>
    <w:rsid w:val="00EA1DCE"/>
    <w:rsid w:val="00EA2671"/>
    <w:rsid w:val="00EA2CB6"/>
    <w:rsid w:val="00EA2D45"/>
    <w:rsid w:val="00EA3A24"/>
    <w:rsid w:val="00EA4D1E"/>
    <w:rsid w:val="00EA5E43"/>
    <w:rsid w:val="00EA6292"/>
    <w:rsid w:val="00EA7BCB"/>
    <w:rsid w:val="00EB010C"/>
    <w:rsid w:val="00EB0D3A"/>
    <w:rsid w:val="00EB204E"/>
    <w:rsid w:val="00EB2FBD"/>
    <w:rsid w:val="00EB4311"/>
    <w:rsid w:val="00EB4A3F"/>
    <w:rsid w:val="00EB796F"/>
    <w:rsid w:val="00EC0AE2"/>
    <w:rsid w:val="00EC0DBF"/>
    <w:rsid w:val="00EC17AD"/>
    <w:rsid w:val="00EC1C0A"/>
    <w:rsid w:val="00EC1FC1"/>
    <w:rsid w:val="00EC30AE"/>
    <w:rsid w:val="00EC47D6"/>
    <w:rsid w:val="00EC57F5"/>
    <w:rsid w:val="00EC6ADE"/>
    <w:rsid w:val="00EC7E92"/>
    <w:rsid w:val="00ED37EF"/>
    <w:rsid w:val="00ED395D"/>
    <w:rsid w:val="00ED489E"/>
    <w:rsid w:val="00ED5169"/>
    <w:rsid w:val="00ED52D1"/>
    <w:rsid w:val="00ED5FB4"/>
    <w:rsid w:val="00ED5FDA"/>
    <w:rsid w:val="00ED61BD"/>
    <w:rsid w:val="00ED6B2D"/>
    <w:rsid w:val="00EE23F0"/>
    <w:rsid w:val="00EE298A"/>
    <w:rsid w:val="00EE327A"/>
    <w:rsid w:val="00EE4FF7"/>
    <w:rsid w:val="00EE5558"/>
    <w:rsid w:val="00EE5600"/>
    <w:rsid w:val="00EE5F85"/>
    <w:rsid w:val="00EE6BAD"/>
    <w:rsid w:val="00EE7007"/>
    <w:rsid w:val="00EF086F"/>
    <w:rsid w:val="00EF1212"/>
    <w:rsid w:val="00EF1362"/>
    <w:rsid w:val="00EF4138"/>
    <w:rsid w:val="00EF53C4"/>
    <w:rsid w:val="00EF666A"/>
    <w:rsid w:val="00EF75FC"/>
    <w:rsid w:val="00F010A3"/>
    <w:rsid w:val="00F0147E"/>
    <w:rsid w:val="00F02A4F"/>
    <w:rsid w:val="00F04721"/>
    <w:rsid w:val="00F052F1"/>
    <w:rsid w:val="00F055F2"/>
    <w:rsid w:val="00F0687D"/>
    <w:rsid w:val="00F068F4"/>
    <w:rsid w:val="00F105E3"/>
    <w:rsid w:val="00F106E6"/>
    <w:rsid w:val="00F114F9"/>
    <w:rsid w:val="00F1159B"/>
    <w:rsid w:val="00F12479"/>
    <w:rsid w:val="00F14F49"/>
    <w:rsid w:val="00F15541"/>
    <w:rsid w:val="00F15750"/>
    <w:rsid w:val="00F16DDB"/>
    <w:rsid w:val="00F1740D"/>
    <w:rsid w:val="00F17424"/>
    <w:rsid w:val="00F20023"/>
    <w:rsid w:val="00F20F46"/>
    <w:rsid w:val="00F20F62"/>
    <w:rsid w:val="00F21642"/>
    <w:rsid w:val="00F21E54"/>
    <w:rsid w:val="00F22E53"/>
    <w:rsid w:val="00F23826"/>
    <w:rsid w:val="00F269B6"/>
    <w:rsid w:val="00F27E5D"/>
    <w:rsid w:val="00F30E2C"/>
    <w:rsid w:val="00F31D36"/>
    <w:rsid w:val="00F32E6F"/>
    <w:rsid w:val="00F33391"/>
    <w:rsid w:val="00F3412A"/>
    <w:rsid w:val="00F350E3"/>
    <w:rsid w:val="00F3519D"/>
    <w:rsid w:val="00F356AD"/>
    <w:rsid w:val="00F365DA"/>
    <w:rsid w:val="00F36FAF"/>
    <w:rsid w:val="00F372E3"/>
    <w:rsid w:val="00F37574"/>
    <w:rsid w:val="00F4049E"/>
    <w:rsid w:val="00F41009"/>
    <w:rsid w:val="00F41EB7"/>
    <w:rsid w:val="00F41EC9"/>
    <w:rsid w:val="00F42AF0"/>
    <w:rsid w:val="00F42EEE"/>
    <w:rsid w:val="00F43160"/>
    <w:rsid w:val="00F43B61"/>
    <w:rsid w:val="00F46A26"/>
    <w:rsid w:val="00F47D41"/>
    <w:rsid w:val="00F50C69"/>
    <w:rsid w:val="00F51FDE"/>
    <w:rsid w:val="00F52A66"/>
    <w:rsid w:val="00F531A9"/>
    <w:rsid w:val="00F5439B"/>
    <w:rsid w:val="00F559FC"/>
    <w:rsid w:val="00F55BA5"/>
    <w:rsid w:val="00F55C09"/>
    <w:rsid w:val="00F56112"/>
    <w:rsid w:val="00F568FC"/>
    <w:rsid w:val="00F56CF8"/>
    <w:rsid w:val="00F57539"/>
    <w:rsid w:val="00F60758"/>
    <w:rsid w:val="00F61295"/>
    <w:rsid w:val="00F61751"/>
    <w:rsid w:val="00F63221"/>
    <w:rsid w:val="00F63421"/>
    <w:rsid w:val="00F63F13"/>
    <w:rsid w:val="00F646BA"/>
    <w:rsid w:val="00F64D9D"/>
    <w:rsid w:val="00F650C5"/>
    <w:rsid w:val="00F66829"/>
    <w:rsid w:val="00F66D2F"/>
    <w:rsid w:val="00F66D8E"/>
    <w:rsid w:val="00F676E3"/>
    <w:rsid w:val="00F67EDA"/>
    <w:rsid w:val="00F67F61"/>
    <w:rsid w:val="00F70F5B"/>
    <w:rsid w:val="00F7101C"/>
    <w:rsid w:val="00F71244"/>
    <w:rsid w:val="00F72E34"/>
    <w:rsid w:val="00F74F9F"/>
    <w:rsid w:val="00F758DF"/>
    <w:rsid w:val="00F75E25"/>
    <w:rsid w:val="00F75ED3"/>
    <w:rsid w:val="00F76016"/>
    <w:rsid w:val="00F76891"/>
    <w:rsid w:val="00F772B6"/>
    <w:rsid w:val="00F77AD6"/>
    <w:rsid w:val="00F818A5"/>
    <w:rsid w:val="00F82299"/>
    <w:rsid w:val="00F834A6"/>
    <w:rsid w:val="00F83D03"/>
    <w:rsid w:val="00F83D67"/>
    <w:rsid w:val="00F863FE"/>
    <w:rsid w:val="00F86421"/>
    <w:rsid w:val="00F87D3E"/>
    <w:rsid w:val="00F90037"/>
    <w:rsid w:val="00F909FD"/>
    <w:rsid w:val="00F93370"/>
    <w:rsid w:val="00F94940"/>
    <w:rsid w:val="00F94A5C"/>
    <w:rsid w:val="00F95922"/>
    <w:rsid w:val="00F9732C"/>
    <w:rsid w:val="00F979F4"/>
    <w:rsid w:val="00F97E4C"/>
    <w:rsid w:val="00FA045A"/>
    <w:rsid w:val="00FA06A9"/>
    <w:rsid w:val="00FA2D0C"/>
    <w:rsid w:val="00FA469F"/>
    <w:rsid w:val="00FA56BB"/>
    <w:rsid w:val="00FA62FB"/>
    <w:rsid w:val="00FA63CE"/>
    <w:rsid w:val="00FA709C"/>
    <w:rsid w:val="00FA7C97"/>
    <w:rsid w:val="00FA7E13"/>
    <w:rsid w:val="00FB0D03"/>
    <w:rsid w:val="00FB15F3"/>
    <w:rsid w:val="00FB175B"/>
    <w:rsid w:val="00FB3D84"/>
    <w:rsid w:val="00FB6B5C"/>
    <w:rsid w:val="00FB6E86"/>
    <w:rsid w:val="00FB7BFF"/>
    <w:rsid w:val="00FB7E73"/>
    <w:rsid w:val="00FC07EC"/>
    <w:rsid w:val="00FC10F9"/>
    <w:rsid w:val="00FC18FE"/>
    <w:rsid w:val="00FC1DC5"/>
    <w:rsid w:val="00FC33ED"/>
    <w:rsid w:val="00FC595C"/>
    <w:rsid w:val="00FC5D88"/>
    <w:rsid w:val="00FC5EC0"/>
    <w:rsid w:val="00FC63C7"/>
    <w:rsid w:val="00FC78A2"/>
    <w:rsid w:val="00FC7F15"/>
    <w:rsid w:val="00FD1B39"/>
    <w:rsid w:val="00FD1F58"/>
    <w:rsid w:val="00FD6791"/>
    <w:rsid w:val="00FD71F5"/>
    <w:rsid w:val="00FE1B6E"/>
    <w:rsid w:val="00FE4338"/>
    <w:rsid w:val="00FE43A8"/>
    <w:rsid w:val="00FE5CFC"/>
    <w:rsid w:val="00FE61BA"/>
    <w:rsid w:val="00FE6BE6"/>
    <w:rsid w:val="00FE751C"/>
    <w:rsid w:val="00FE776C"/>
    <w:rsid w:val="00FF1150"/>
    <w:rsid w:val="00FF1E18"/>
    <w:rsid w:val="00FF2768"/>
    <w:rsid w:val="00FF31EB"/>
    <w:rsid w:val="00FF431D"/>
    <w:rsid w:val="00FF447D"/>
    <w:rsid w:val="00FF5B36"/>
    <w:rsid w:val="00FF64C2"/>
    <w:rsid w:val="00FF6F46"/>
    <w:rsid w:val="00FF7FE1"/>
    <w:rsid w:val="10B1E6DA"/>
    <w:rsid w:val="13AA1DCA"/>
    <w:rsid w:val="14411C3B"/>
    <w:rsid w:val="2AB5005D"/>
    <w:rsid w:val="447591F6"/>
    <w:rsid w:val="466754D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567E0"/>
  <w15:chartTrackingRefBased/>
  <w15:docId w15:val="{074FEB74-2EF1-4482-ABF0-9691F5B25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580"/>
    <w:pPr>
      <w:spacing w:after="0" w:line="240" w:lineRule="auto"/>
    </w:pPr>
    <w:rPr>
      <w:rFonts w:ascii="Times New Roman" w:eastAsia="Times New Roman" w:hAnsi="Times New Roman" w:cs="Times New Roman"/>
      <w:kern w:val="0"/>
      <w:sz w:val="24"/>
      <w:szCs w:val="24"/>
      <w:lang w:val="es-419" w:eastAsia="es-419"/>
      <w14:ligatures w14:val="none"/>
    </w:rPr>
  </w:style>
  <w:style w:type="paragraph" w:styleId="Ttulo1">
    <w:name w:val="heading 1"/>
    <w:basedOn w:val="Normal"/>
    <w:next w:val="Normal"/>
    <w:link w:val="Ttulo1Car"/>
    <w:uiPriority w:val="9"/>
    <w:qFormat/>
    <w:rsid w:val="001A2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A2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A258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A258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A258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A258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258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258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258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258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258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258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258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258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258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258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258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2580"/>
    <w:rPr>
      <w:rFonts w:eastAsiaTheme="majorEastAsia" w:cstheme="majorBidi"/>
      <w:color w:val="272727" w:themeColor="text1" w:themeTint="D8"/>
    </w:rPr>
  </w:style>
  <w:style w:type="paragraph" w:styleId="Ttulo">
    <w:name w:val="Title"/>
    <w:basedOn w:val="Normal"/>
    <w:next w:val="Normal"/>
    <w:link w:val="TtuloCar"/>
    <w:uiPriority w:val="10"/>
    <w:qFormat/>
    <w:rsid w:val="001A258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258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258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258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2580"/>
    <w:pPr>
      <w:spacing w:before="160"/>
      <w:jc w:val="center"/>
    </w:pPr>
    <w:rPr>
      <w:i/>
      <w:iCs/>
      <w:color w:val="404040" w:themeColor="text1" w:themeTint="BF"/>
    </w:rPr>
  </w:style>
  <w:style w:type="character" w:customStyle="1" w:styleId="CitaCar">
    <w:name w:val="Cita Car"/>
    <w:basedOn w:val="Fuentedeprrafopredeter"/>
    <w:link w:val="Cita"/>
    <w:uiPriority w:val="29"/>
    <w:rsid w:val="001A2580"/>
    <w:rPr>
      <w:i/>
      <w:iCs/>
      <w:color w:val="404040" w:themeColor="text1" w:themeTint="BF"/>
    </w:rPr>
  </w:style>
  <w:style w:type="paragraph" w:styleId="Prrafodelista">
    <w:name w:val="List Paragraph"/>
    <w:basedOn w:val="Normal"/>
    <w:link w:val="PrrafodelistaCar"/>
    <w:uiPriority w:val="34"/>
    <w:qFormat/>
    <w:rsid w:val="001A2580"/>
    <w:pPr>
      <w:ind w:left="720"/>
      <w:contextualSpacing/>
    </w:pPr>
  </w:style>
  <w:style w:type="character" w:styleId="nfasisintenso">
    <w:name w:val="Intense Emphasis"/>
    <w:basedOn w:val="Fuentedeprrafopredeter"/>
    <w:uiPriority w:val="21"/>
    <w:qFormat/>
    <w:rsid w:val="001A2580"/>
    <w:rPr>
      <w:i/>
      <w:iCs/>
      <w:color w:val="0F4761" w:themeColor="accent1" w:themeShade="BF"/>
    </w:rPr>
  </w:style>
  <w:style w:type="paragraph" w:styleId="Citadestacada">
    <w:name w:val="Intense Quote"/>
    <w:basedOn w:val="Normal"/>
    <w:next w:val="Normal"/>
    <w:link w:val="CitadestacadaCar"/>
    <w:uiPriority w:val="30"/>
    <w:qFormat/>
    <w:rsid w:val="001A2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A2580"/>
    <w:rPr>
      <w:i/>
      <w:iCs/>
      <w:color w:val="0F4761" w:themeColor="accent1" w:themeShade="BF"/>
    </w:rPr>
  </w:style>
  <w:style w:type="character" w:styleId="Referenciaintensa">
    <w:name w:val="Intense Reference"/>
    <w:basedOn w:val="Fuentedeprrafopredeter"/>
    <w:uiPriority w:val="32"/>
    <w:qFormat/>
    <w:rsid w:val="001A2580"/>
    <w:rPr>
      <w:b/>
      <w:bCs/>
      <w:smallCaps/>
      <w:color w:val="0F4761" w:themeColor="accent1" w:themeShade="BF"/>
      <w:spacing w:val="5"/>
    </w:rPr>
  </w:style>
  <w:style w:type="character" w:styleId="Refdecomentario">
    <w:name w:val="annotation reference"/>
    <w:rsid w:val="001A2580"/>
    <w:rPr>
      <w:rFonts w:cs="Times New Roman"/>
      <w:sz w:val="16"/>
      <w:szCs w:val="16"/>
    </w:rPr>
  </w:style>
  <w:style w:type="paragraph" w:styleId="Textocomentario">
    <w:name w:val="annotation text"/>
    <w:basedOn w:val="Normal"/>
    <w:link w:val="TextocomentarioCar"/>
    <w:rsid w:val="001A2580"/>
    <w:rPr>
      <w:sz w:val="20"/>
    </w:rPr>
  </w:style>
  <w:style w:type="character" w:customStyle="1" w:styleId="TextocomentarioCar">
    <w:name w:val="Texto comentario Car"/>
    <w:basedOn w:val="Fuentedeprrafopredeter"/>
    <w:link w:val="Textocomentario"/>
    <w:rsid w:val="001A2580"/>
    <w:rPr>
      <w:rFonts w:ascii="Times New Roman" w:eastAsia="Times New Roman" w:hAnsi="Times New Roman" w:cs="Times New Roman"/>
      <w:kern w:val="0"/>
      <w:sz w:val="20"/>
      <w:szCs w:val="24"/>
      <w:lang w:val="es-419" w:eastAsia="es-419"/>
      <w14:ligatures w14:val="none"/>
    </w:rPr>
  </w:style>
  <w:style w:type="character" w:customStyle="1" w:styleId="PrrafodelistaCar">
    <w:name w:val="Párrafo de lista Car"/>
    <w:link w:val="Prrafodelista"/>
    <w:uiPriority w:val="34"/>
    <w:locked/>
    <w:rsid w:val="001A2580"/>
  </w:style>
  <w:style w:type="paragraph" w:styleId="Encabezado">
    <w:name w:val="header"/>
    <w:basedOn w:val="Normal"/>
    <w:link w:val="EncabezadoCar"/>
    <w:uiPriority w:val="99"/>
    <w:unhideWhenUsed/>
    <w:rsid w:val="00923B4A"/>
    <w:pPr>
      <w:tabs>
        <w:tab w:val="center" w:pos="4419"/>
        <w:tab w:val="right" w:pos="8838"/>
      </w:tabs>
    </w:pPr>
  </w:style>
  <w:style w:type="character" w:customStyle="1" w:styleId="EncabezadoCar">
    <w:name w:val="Encabezado Car"/>
    <w:basedOn w:val="Fuentedeprrafopredeter"/>
    <w:link w:val="Encabezado"/>
    <w:uiPriority w:val="99"/>
    <w:rsid w:val="00923B4A"/>
    <w:rPr>
      <w:rFonts w:ascii="Times New Roman" w:eastAsia="Times New Roman" w:hAnsi="Times New Roman" w:cs="Times New Roman"/>
      <w:kern w:val="0"/>
      <w:sz w:val="24"/>
      <w:szCs w:val="24"/>
      <w:lang w:val="es-419" w:eastAsia="es-419"/>
      <w14:ligatures w14:val="none"/>
    </w:rPr>
  </w:style>
  <w:style w:type="paragraph" w:styleId="Piedepgina">
    <w:name w:val="footer"/>
    <w:basedOn w:val="Normal"/>
    <w:link w:val="PiedepginaCar"/>
    <w:unhideWhenUsed/>
    <w:rsid w:val="00923B4A"/>
    <w:pPr>
      <w:tabs>
        <w:tab w:val="center" w:pos="4419"/>
        <w:tab w:val="right" w:pos="8838"/>
      </w:tabs>
    </w:pPr>
  </w:style>
  <w:style w:type="character" w:customStyle="1" w:styleId="PiedepginaCar">
    <w:name w:val="Pie de página Car"/>
    <w:basedOn w:val="Fuentedeprrafopredeter"/>
    <w:link w:val="Piedepgina"/>
    <w:rsid w:val="00923B4A"/>
    <w:rPr>
      <w:rFonts w:ascii="Times New Roman" w:eastAsia="Times New Roman" w:hAnsi="Times New Roman" w:cs="Times New Roman"/>
      <w:kern w:val="0"/>
      <w:sz w:val="24"/>
      <w:szCs w:val="24"/>
      <w:lang w:val="es-419" w:eastAsia="es-419"/>
      <w14:ligatures w14:val="none"/>
    </w:rPr>
  </w:style>
  <w:style w:type="paragraph" w:styleId="Revisin">
    <w:name w:val="Revision"/>
    <w:hidden/>
    <w:uiPriority w:val="99"/>
    <w:semiHidden/>
    <w:rsid w:val="004E58F6"/>
    <w:pPr>
      <w:spacing w:after="0" w:line="240" w:lineRule="auto"/>
    </w:pPr>
    <w:rPr>
      <w:rFonts w:ascii="Times New Roman" w:eastAsia="Times New Roman" w:hAnsi="Times New Roman" w:cs="Times New Roman"/>
      <w:kern w:val="0"/>
      <w:sz w:val="24"/>
      <w:szCs w:val="24"/>
      <w:lang w:val="es-419" w:eastAsia="es-419"/>
      <w14:ligatures w14:val="none"/>
    </w:rPr>
  </w:style>
  <w:style w:type="paragraph" w:styleId="Asuntodelcomentario">
    <w:name w:val="annotation subject"/>
    <w:basedOn w:val="Textocomentario"/>
    <w:next w:val="Textocomentario"/>
    <w:link w:val="AsuntodelcomentarioCar"/>
    <w:uiPriority w:val="99"/>
    <w:semiHidden/>
    <w:unhideWhenUsed/>
    <w:rsid w:val="005C1C69"/>
    <w:rPr>
      <w:b/>
      <w:bCs/>
      <w:szCs w:val="20"/>
    </w:rPr>
  </w:style>
  <w:style w:type="character" w:customStyle="1" w:styleId="AsuntodelcomentarioCar">
    <w:name w:val="Asunto del comentario Car"/>
    <w:basedOn w:val="TextocomentarioCar"/>
    <w:link w:val="Asuntodelcomentario"/>
    <w:uiPriority w:val="99"/>
    <w:semiHidden/>
    <w:rsid w:val="005C1C69"/>
    <w:rPr>
      <w:rFonts w:ascii="Times New Roman" w:eastAsia="Times New Roman" w:hAnsi="Times New Roman" w:cs="Times New Roman"/>
      <w:b/>
      <w:bCs/>
      <w:kern w:val="0"/>
      <w:sz w:val="20"/>
      <w:szCs w:val="20"/>
      <w:lang w:val="es-419" w:eastAsia="es-4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06210">
      <w:bodyDiv w:val="1"/>
      <w:marLeft w:val="0"/>
      <w:marRight w:val="0"/>
      <w:marTop w:val="0"/>
      <w:marBottom w:val="0"/>
      <w:divBdr>
        <w:top w:val="none" w:sz="0" w:space="0" w:color="auto"/>
        <w:left w:val="none" w:sz="0" w:space="0" w:color="auto"/>
        <w:bottom w:val="none" w:sz="0" w:space="0" w:color="auto"/>
        <w:right w:val="none" w:sz="0" w:space="0" w:color="auto"/>
      </w:divBdr>
    </w:div>
    <w:div w:id="71782897">
      <w:bodyDiv w:val="1"/>
      <w:marLeft w:val="0"/>
      <w:marRight w:val="0"/>
      <w:marTop w:val="0"/>
      <w:marBottom w:val="0"/>
      <w:divBdr>
        <w:top w:val="none" w:sz="0" w:space="0" w:color="auto"/>
        <w:left w:val="none" w:sz="0" w:space="0" w:color="auto"/>
        <w:bottom w:val="none" w:sz="0" w:space="0" w:color="auto"/>
        <w:right w:val="none" w:sz="0" w:space="0" w:color="auto"/>
      </w:divBdr>
    </w:div>
    <w:div w:id="367268525">
      <w:bodyDiv w:val="1"/>
      <w:marLeft w:val="0"/>
      <w:marRight w:val="0"/>
      <w:marTop w:val="0"/>
      <w:marBottom w:val="0"/>
      <w:divBdr>
        <w:top w:val="none" w:sz="0" w:space="0" w:color="auto"/>
        <w:left w:val="none" w:sz="0" w:space="0" w:color="auto"/>
        <w:bottom w:val="none" w:sz="0" w:space="0" w:color="auto"/>
        <w:right w:val="none" w:sz="0" w:space="0" w:color="auto"/>
      </w:divBdr>
      <w:divsChild>
        <w:div w:id="238096179">
          <w:marLeft w:val="0"/>
          <w:marRight w:val="0"/>
          <w:marTop w:val="0"/>
          <w:marBottom w:val="0"/>
          <w:divBdr>
            <w:top w:val="none" w:sz="0" w:space="0" w:color="auto"/>
            <w:left w:val="none" w:sz="0" w:space="0" w:color="auto"/>
            <w:bottom w:val="none" w:sz="0" w:space="0" w:color="auto"/>
            <w:right w:val="none" w:sz="0" w:space="0" w:color="auto"/>
          </w:divBdr>
        </w:div>
        <w:div w:id="504780867">
          <w:marLeft w:val="0"/>
          <w:marRight w:val="0"/>
          <w:marTop w:val="0"/>
          <w:marBottom w:val="0"/>
          <w:divBdr>
            <w:top w:val="none" w:sz="0" w:space="0" w:color="auto"/>
            <w:left w:val="none" w:sz="0" w:space="0" w:color="auto"/>
            <w:bottom w:val="none" w:sz="0" w:space="0" w:color="auto"/>
            <w:right w:val="none" w:sz="0" w:space="0" w:color="auto"/>
          </w:divBdr>
        </w:div>
      </w:divsChild>
    </w:div>
    <w:div w:id="450441595">
      <w:bodyDiv w:val="1"/>
      <w:marLeft w:val="0"/>
      <w:marRight w:val="0"/>
      <w:marTop w:val="0"/>
      <w:marBottom w:val="0"/>
      <w:divBdr>
        <w:top w:val="none" w:sz="0" w:space="0" w:color="auto"/>
        <w:left w:val="none" w:sz="0" w:space="0" w:color="auto"/>
        <w:bottom w:val="none" w:sz="0" w:space="0" w:color="auto"/>
        <w:right w:val="none" w:sz="0" w:space="0" w:color="auto"/>
      </w:divBdr>
    </w:div>
    <w:div w:id="657920544">
      <w:bodyDiv w:val="1"/>
      <w:marLeft w:val="0"/>
      <w:marRight w:val="0"/>
      <w:marTop w:val="0"/>
      <w:marBottom w:val="0"/>
      <w:divBdr>
        <w:top w:val="none" w:sz="0" w:space="0" w:color="auto"/>
        <w:left w:val="none" w:sz="0" w:space="0" w:color="auto"/>
        <w:bottom w:val="none" w:sz="0" w:space="0" w:color="auto"/>
        <w:right w:val="none" w:sz="0" w:space="0" w:color="auto"/>
      </w:divBdr>
    </w:div>
    <w:div w:id="660041486">
      <w:bodyDiv w:val="1"/>
      <w:marLeft w:val="0"/>
      <w:marRight w:val="0"/>
      <w:marTop w:val="0"/>
      <w:marBottom w:val="0"/>
      <w:divBdr>
        <w:top w:val="none" w:sz="0" w:space="0" w:color="auto"/>
        <w:left w:val="none" w:sz="0" w:space="0" w:color="auto"/>
        <w:bottom w:val="none" w:sz="0" w:space="0" w:color="auto"/>
        <w:right w:val="none" w:sz="0" w:space="0" w:color="auto"/>
      </w:divBdr>
    </w:div>
    <w:div w:id="1072970004">
      <w:bodyDiv w:val="1"/>
      <w:marLeft w:val="0"/>
      <w:marRight w:val="0"/>
      <w:marTop w:val="0"/>
      <w:marBottom w:val="0"/>
      <w:divBdr>
        <w:top w:val="none" w:sz="0" w:space="0" w:color="auto"/>
        <w:left w:val="none" w:sz="0" w:space="0" w:color="auto"/>
        <w:bottom w:val="none" w:sz="0" w:space="0" w:color="auto"/>
        <w:right w:val="none" w:sz="0" w:space="0" w:color="auto"/>
      </w:divBdr>
    </w:div>
    <w:div w:id="1166632504">
      <w:bodyDiv w:val="1"/>
      <w:marLeft w:val="0"/>
      <w:marRight w:val="0"/>
      <w:marTop w:val="0"/>
      <w:marBottom w:val="0"/>
      <w:divBdr>
        <w:top w:val="none" w:sz="0" w:space="0" w:color="auto"/>
        <w:left w:val="none" w:sz="0" w:space="0" w:color="auto"/>
        <w:bottom w:val="none" w:sz="0" w:space="0" w:color="auto"/>
        <w:right w:val="none" w:sz="0" w:space="0" w:color="auto"/>
      </w:divBdr>
    </w:div>
    <w:div w:id="1176844681">
      <w:bodyDiv w:val="1"/>
      <w:marLeft w:val="0"/>
      <w:marRight w:val="0"/>
      <w:marTop w:val="0"/>
      <w:marBottom w:val="0"/>
      <w:divBdr>
        <w:top w:val="none" w:sz="0" w:space="0" w:color="auto"/>
        <w:left w:val="none" w:sz="0" w:space="0" w:color="auto"/>
        <w:bottom w:val="none" w:sz="0" w:space="0" w:color="auto"/>
        <w:right w:val="none" w:sz="0" w:space="0" w:color="auto"/>
      </w:divBdr>
    </w:div>
    <w:div w:id="1207985927">
      <w:bodyDiv w:val="1"/>
      <w:marLeft w:val="0"/>
      <w:marRight w:val="0"/>
      <w:marTop w:val="0"/>
      <w:marBottom w:val="0"/>
      <w:divBdr>
        <w:top w:val="none" w:sz="0" w:space="0" w:color="auto"/>
        <w:left w:val="none" w:sz="0" w:space="0" w:color="auto"/>
        <w:bottom w:val="none" w:sz="0" w:space="0" w:color="auto"/>
        <w:right w:val="none" w:sz="0" w:space="0" w:color="auto"/>
      </w:divBdr>
    </w:div>
    <w:div w:id="1240017379">
      <w:bodyDiv w:val="1"/>
      <w:marLeft w:val="0"/>
      <w:marRight w:val="0"/>
      <w:marTop w:val="0"/>
      <w:marBottom w:val="0"/>
      <w:divBdr>
        <w:top w:val="none" w:sz="0" w:space="0" w:color="auto"/>
        <w:left w:val="none" w:sz="0" w:space="0" w:color="auto"/>
        <w:bottom w:val="none" w:sz="0" w:space="0" w:color="auto"/>
        <w:right w:val="none" w:sz="0" w:space="0" w:color="auto"/>
      </w:divBdr>
    </w:div>
    <w:div w:id="1286812405">
      <w:bodyDiv w:val="1"/>
      <w:marLeft w:val="0"/>
      <w:marRight w:val="0"/>
      <w:marTop w:val="0"/>
      <w:marBottom w:val="0"/>
      <w:divBdr>
        <w:top w:val="none" w:sz="0" w:space="0" w:color="auto"/>
        <w:left w:val="none" w:sz="0" w:space="0" w:color="auto"/>
        <w:bottom w:val="none" w:sz="0" w:space="0" w:color="auto"/>
        <w:right w:val="none" w:sz="0" w:space="0" w:color="auto"/>
      </w:divBdr>
    </w:div>
    <w:div w:id="1326475584">
      <w:bodyDiv w:val="1"/>
      <w:marLeft w:val="0"/>
      <w:marRight w:val="0"/>
      <w:marTop w:val="0"/>
      <w:marBottom w:val="0"/>
      <w:divBdr>
        <w:top w:val="none" w:sz="0" w:space="0" w:color="auto"/>
        <w:left w:val="none" w:sz="0" w:space="0" w:color="auto"/>
        <w:bottom w:val="none" w:sz="0" w:space="0" w:color="auto"/>
        <w:right w:val="none" w:sz="0" w:space="0" w:color="auto"/>
      </w:divBdr>
    </w:div>
    <w:div w:id="1326670065">
      <w:bodyDiv w:val="1"/>
      <w:marLeft w:val="0"/>
      <w:marRight w:val="0"/>
      <w:marTop w:val="0"/>
      <w:marBottom w:val="0"/>
      <w:divBdr>
        <w:top w:val="none" w:sz="0" w:space="0" w:color="auto"/>
        <w:left w:val="none" w:sz="0" w:space="0" w:color="auto"/>
        <w:bottom w:val="none" w:sz="0" w:space="0" w:color="auto"/>
        <w:right w:val="none" w:sz="0" w:space="0" w:color="auto"/>
      </w:divBdr>
    </w:div>
    <w:div w:id="1470510500">
      <w:bodyDiv w:val="1"/>
      <w:marLeft w:val="0"/>
      <w:marRight w:val="0"/>
      <w:marTop w:val="0"/>
      <w:marBottom w:val="0"/>
      <w:divBdr>
        <w:top w:val="none" w:sz="0" w:space="0" w:color="auto"/>
        <w:left w:val="none" w:sz="0" w:space="0" w:color="auto"/>
        <w:bottom w:val="none" w:sz="0" w:space="0" w:color="auto"/>
        <w:right w:val="none" w:sz="0" w:space="0" w:color="auto"/>
      </w:divBdr>
    </w:div>
    <w:div w:id="1485512753">
      <w:bodyDiv w:val="1"/>
      <w:marLeft w:val="0"/>
      <w:marRight w:val="0"/>
      <w:marTop w:val="0"/>
      <w:marBottom w:val="0"/>
      <w:divBdr>
        <w:top w:val="none" w:sz="0" w:space="0" w:color="auto"/>
        <w:left w:val="none" w:sz="0" w:space="0" w:color="auto"/>
        <w:bottom w:val="none" w:sz="0" w:space="0" w:color="auto"/>
        <w:right w:val="none" w:sz="0" w:space="0" w:color="auto"/>
      </w:divBdr>
    </w:div>
    <w:div w:id="1499149029">
      <w:bodyDiv w:val="1"/>
      <w:marLeft w:val="0"/>
      <w:marRight w:val="0"/>
      <w:marTop w:val="0"/>
      <w:marBottom w:val="0"/>
      <w:divBdr>
        <w:top w:val="none" w:sz="0" w:space="0" w:color="auto"/>
        <w:left w:val="none" w:sz="0" w:space="0" w:color="auto"/>
        <w:bottom w:val="none" w:sz="0" w:space="0" w:color="auto"/>
        <w:right w:val="none" w:sz="0" w:space="0" w:color="auto"/>
      </w:divBdr>
    </w:div>
    <w:div w:id="1780447127">
      <w:bodyDiv w:val="1"/>
      <w:marLeft w:val="0"/>
      <w:marRight w:val="0"/>
      <w:marTop w:val="0"/>
      <w:marBottom w:val="0"/>
      <w:divBdr>
        <w:top w:val="none" w:sz="0" w:space="0" w:color="auto"/>
        <w:left w:val="none" w:sz="0" w:space="0" w:color="auto"/>
        <w:bottom w:val="none" w:sz="0" w:space="0" w:color="auto"/>
        <w:right w:val="none" w:sz="0" w:space="0" w:color="auto"/>
      </w:divBdr>
    </w:div>
    <w:div w:id="1978142762">
      <w:bodyDiv w:val="1"/>
      <w:marLeft w:val="0"/>
      <w:marRight w:val="0"/>
      <w:marTop w:val="0"/>
      <w:marBottom w:val="0"/>
      <w:divBdr>
        <w:top w:val="none" w:sz="0" w:space="0" w:color="auto"/>
        <w:left w:val="none" w:sz="0" w:space="0" w:color="auto"/>
        <w:bottom w:val="none" w:sz="0" w:space="0" w:color="auto"/>
        <w:right w:val="none" w:sz="0" w:space="0" w:color="auto"/>
      </w:divBdr>
    </w:div>
    <w:div w:id="2018728417">
      <w:bodyDiv w:val="1"/>
      <w:marLeft w:val="0"/>
      <w:marRight w:val="0"/>
      <w:marTop w:val="0"/>
      <w:marBottom w:val="0"/>
      <w:divBdr>
        <w:top w:val="none" w:sz="0" w:space="0" w:color="auto"/>
        <w:left w:val="none" w:sz="0" w:space="0" w:color="auto"/>
        <w:bottom w:val="none" w:sz="0" w:space="0" w:color="auto"/>
        <w:right w:val="none" w:sz="0" w:space="0" w:color="auto"/>
      </w:divBdr>
    </w:div>
    <w:div w:id="2059894020">
      <w:bodyDiv w:val="1"/>
      <w:marLeft w:val="0"/>
      <w:marRight w:val="0"/>
      <w:marTop w:val="0"/>
      <w:marBottom w:val="0"/>
      <w:divBdr>
        <w:top w:val="none" w:sz="0" w:space="0" w:color="auto"/>
        <w:left w:val="none" w:sz="0" w:space="0" w:color="auto"/>
        <w:bottom w:val="none" w:sz="0" w:space="0" w:color="auto"/>
        <w:right w:val="none" w:sz="0" w:space="0" w:color="auto"/>
      </w:divBdr>
      <w:divsChild>
        <w:div w:id="942302796">
          <w:marLeft w:val="0"/>
          <w:marRight w:val="0"/>
          <w:marTop w:val="0"/>
          <w:marBottom w:val="0"/>
          <w:divBdr>
            <w:top w:val="none" w:sz="0" w:space="0" w:color="auto"/>
            <w:left w:val="none" w:sz="0" w:space="0" w:color="auto"/>
            <w:bottom w:val="none" w:sz="0" w:space="0" w:color="auto"/>
            <w:right w:val="none" w:sz="0" w:space="0" w:color="auto"/>
          </w:divBdr>
        </w:div>
        <w:div w:id="91979288">
          <w:marLeft w:val="0"/>
          <w:marRight w:val="0"/>
          <w:marTop w:val="0"/>
          <w:marBottom w:val="0"/>
          <w:divBdr>
            <w:top w:val="none" w:sz="0" w:space="0" w:color="auto"/>
            <w:left w:val="none" w:sz="0" w:space="0" w:color="auto"/>
            <w:bottom w:val="none" w:sz="0" w:space="0" w:color="auto"/>
            <w:right w:val="none" w:sz="0" w:space="0" w:color="auto"/>
          </w:divBdr>
        </w:div>
      </w:divsChild>
    </w:div>
    <w:div w:id="206675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C2A565E44F0074BA14936328266D7CC" ma:contentTypeVersion="4" ma:contentTypeDescription="Crear nuevo documento." ma:contentTypeScope="" ma:versionID="3cfcdf27fbcbc3bd4ff76d7d870ce67a">
  <xsd:schema xmlns:xsd="http://www.w3.org/2001/XMLSchema" xmlns:xs="http://www.w3.org/2001/XMLSchema" xmlns:p="http://schemas.microsoft.com/office/2006/metadata/properties" xmlns:ns2="1c2c5d89-27fb-4930-b670-b9164658e44d" targetNamespace="http://schemas.microsoft.com/office/2006/metadata/properties" ma:root="true" ma:fieldsID="f96c5a8c6470989c9bdc52b17ba5d3dd" ns2:_="">
    <xsd:import namespace="1c2c5d89-27fb-4930-b670-b9164658e4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2c5d89-27fb-4930-b670-b9164658e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B29AB-E491-477A-B572-12377CDBC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2c5d89-27fb-4930-b670-b9164658e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394BF1-A1AF-42D4-A298-1126FB110032}">
  <ds:schemaRefs>
    <ds:schemaRef ds:uri="http://schemas.microsoft.com/sharepoint/v3/contenttype/forms"/>
  </ds:schemaRefs>
</ds:datastoreItem>
</file>

<file path=customXml/itemProps3.xml><?xml version="1.0" encoding="utf-8"?>
<ds:datastoreItem xmlns:ds="http://schemas.openxmlformats.org/officeDocument/2006/customXml" ds:itemID="{0844863B-64DA-4BC2-B939-F688EA64C7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EF81C0-A79C-4C42-A527-DEB60FDA1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3043</Words>
  <Characters>16738</Characters>
  <Application>Microsoft Office Word</Application>
  <DocSecurity>0</DocSecurity>
  <Lines>139</Lines>
  <Paragraphs>39</Paragraphs>
  <ScaleCrop>false</ScaleCrop>
  <Company/>
  <LinksUpToDate>false</LinksUpToDate>
  <CharactersWithSpaces>19742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Alejandra Bhatia Ramos</dc:creator>
  <cp:keywords/>
  <dc:description/>
  <cp:lastModifiedBy>Asomutuos</cp:lastModifiedBy>
  <cp:revision>2</cp:revision>
  <dcterms:created xsi:type="dcterms:W3CDTF">2025-08-25T20:44:00Z</dcterms:created>
  <dcterms:modified xsi:type="dcterms:W3CDTF">2025-08-25T20:44:00Z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0x0101002C2A565E44F0074BA14936328266D7CC</vt:lpwstr>
  </property>
</Properties>
</file>